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5D1D4">
      <w:pPr>
        <w:spacing w:line="560" w:lineRule="exact"/>
        <w:ind w:firstLine="723" w:firstLineChars="200"/>
        <w:jc w:val="center"/>
        <w:rPr>
          <w:rFonts w:ascii="Times New Roman" w:hAnsi="Times New Roman" w:eastAsia="楷体_GB2312" w:cs="Times New Roman"/>
          <w:b/>
          <w:bCs/>
          <w:color w:val="auto"/>
          <w:sz w:val="36"/>
          <w:szCs w:val="36"/>
        </w:rPr>
      </w:pPr>
      <w:bookmarkStart w:id="0" w:name="_GoBack"/>
      <w:r>
        <w:rPr>
          <w:rFonts w:hint="eastAsia" w:ascii="Times New Roman" w:hAnsi="Times New Roman" w:eastAsia="楷体_GB2312" w:cs="Times New Roman"/>
          <w:b/>
          <w:bCs/>
          <w:color w:val="auto"/>
          <w:sz w:val="36"/>
          <w:szCs w:val="36"/>
        </w:rPr>
        <w:t>“</w:t>
      </w:r>
      <w:r>
        <w:rPr>
          <w:rFonts w:hint="eastAsia" w:ascii="Times New Roman" w:hAnsi="Times New Roman" w:eastAsia="楷体_GB2312" w:cs="Times New Roman"/>
          <w:b/>
          <w:bCs/>
          <w:color w:val="auto"/>
          <w:sz w:val="36"/>
          <w:szCs w:val="36"/>
          <w:lang w:val="en-US" w:eastAsia="zh-CN"/>
        </w:rPr>
        <w:t>数字园区</w:t>
      </w:r>
      <w:r>
        <w:rPr>
          <w:rFonts w:hint="eastAsia" w:ascii="Times New Roman" w:hAnsi="Times New Roman" w:eastAsia="楷体_GB2312" w:cs="Times New Roman"/>
          <w:b/>
          <w:bCs/>
          <w:color w:val="auto"/>
          <w:sz w:val="36"/>
          <w:szCs w:val="36"/>
        </w:rPr>
        <w:t>·</w:t>
      </w:r>
      <w:r>
        <w:rPr>
          <w:rFonts w:hint="eastAsia" w:ascii="Times New Roman" w:hAnsi="Times New Roman" w:eastAsia="楷体_GB2312" w:cs="Times New Roman"/>
          <w:b/>
          <w:bCs/>
          <w:color w:val="auto"/>
          <w:sz w:val="36"/>
          <w:szCs w:val="36"/>
          <w:lang w:val="en-US" w:eastAsia="zh-CN"/>
        </w:rPr>
        <w:t>科创</w:t>
      </w:r>
      <w:r>
        <w:rPr>
          <w:rFonts w:hint="eastAsia" w:ascii="Times New Roman" w:hAnsi="Times New Roman" w:eastAsia="楷体_GB2312" w:cs="Times New Roman"/>
          <w:b/>
          <w:bCs/>
          <w:color w:val="auto"/>
          <w:sz w:val="36"/>
          <w:szCs w:val="36"/>
        </w:rPr>
        <w:t>少年</w:t>
      </w:r>
      <w:r>
        <w:rPr>
          <w:rFonts w:ascii="Times New Roman" w:hAnsi="Times New Roman" w:eastAsia="楷体_GB2312" w:cs="Times New Roman"/>
          <w:b/>
          <w:bCs/>
          <w:color w:val="auto"/>
          <w:sz w:val="36"/>
          <w:szCs w:val="36"/>
        </w:rPr>
        <w:t>” 创意编程</w:t>
      </w:r>
      <w:bookmarkEnd w:id="0"/>
      <w:r>
        <w:rPr>
          <w:rFonts w:ascii="Times New Roman" w:hAnsi="Times New Roman" w:eastAsia="楷体_GB2312" w:cs="Times New Roman"/>
          <w:b/>
          <w:bCs/>
          <w:color w:val="auto"/>
          <w:sz w:val="36"/>
          <w:szCs w:val="36"/>
        </w:rPr>
        <w:t>成果展</w:t>
      </w:r>
    </w:p>
    <w:p w14:paraId="74B43EB3">
      <w:pPr>
        <w:spacing w:line="560" w:lineRule="exact"/>
        <w:ind w:firstLine="723" w:firstLineChars="200"/>
        <w:jc w:val="center"/>
        <w:rPr>
          <w:rFonts w:ascii="Times New Roman" w:hAnsi="Times New Roman" w:eastAsia="楷体_GB2312" w:cs="Times New Roman"/>
          <w:b/>
          <w:bCs/>
          <w:color w:val="auto"/>
          <w:sz w:val="36"/>
          <w:szCs w:val="36"/>
        </w:rPr>
      </w:pPr>
    </w:p>
    <w:p w14:paraId="33060E58">
      <w:pPr>
        <w:numPr>
          <w:ilvl w:val="0"/>
          <w:numId w:val="1"/>
        </w:numPr>
        <w:spacing w:line="560" w:lineRule="exact"/>
        <w:ind w:firstLine="562" w:firstLineChars="200"/>
        <w:rPr>
          <w:rFonts w:ascii="Times New Roman" w:hAnsi="Times New Roman" w:eastAsia="仿宋_GB2312" w:cs="Times New Roman"/>
          <w:b/>
          <w:color w:val="auto"/>
          <w:sz w:val="28"/>
          <w:szCs w:val="28"/>
        </w:rPr>
      </w:pPr>
      <w:r>
        <w:rPr>
          <w:rFonts w:ascii="Times New Roman" w:hAnsi="Times New Roman" w:eastAsia="仿宋_GB2312" w:cs="Times New Roman"/>
          <w:b/>
          <w:color w:val="auto"/>
          <w:sz w:val="28"/>
          <w:szCs w:val="28"/>
        </w:rPr>
        <w:t>比赛</w:t>
      </w:r>
      <w:r>
        <w:rPr>
          <w:rFonts w:hint="eastAsia" w:ascii="Times New Roman" w:hAnsi="Times New Roman" w:eastAsia="仿宋_GB2312" w:cs="Times New Roman"/>
          <w:b/>
          <w:color w:val="auto"/>
          <w:sz w:val="28"/>
          <w:szCs w:val="28"/>
        </w:rPr>
        <w:t>内容</w:t>
      </w:r>
      <w:r>
        <w:rPr>
          <w:rFonts w:ascii="Times New Roman" w:hAnsi="Times New Roman" w:eastAsia="仿宋_GB2312" w:cs="Times New Roman"/>
          <w:b/>
          <w:color w:val="auto"/>
          <w:sz w:val="28"/>
          <w:szCs w:val="28"/>
        </w:rPr>
        <w:t>：</w:t>
      </w:r>
    </w:p>
    <w:p w14:paraId="3F4DBEBF">
      <w:pPr>
        <w:numPr>
          <w:numId w:val="0"/>
        </w:numPr>
        <w:spacing w:line="560" w:lineRule="exact"/>
        <w:ind w:firstLine="840" w:firstLineChars="3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以</w:t>
      </w: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数字园区</w:t>
      </w:r>
      <w:r>
        <w:rPr>
          <w:rFonts w:hint="eastAsia" w:ascii="Times New Roman" w:hAnsi="Times New Roman" w:eastAsia="仿宋_GB2312" w:cs="Times New Roman"/>
          <w:color w:val="auto"/>
          <w:sz w:val="28"/>
          <w:szCs w:val="28"/>
        </w:rPr>
        <w:t>·</w:t>
      </w:r>
      <w:r>
        <w:rPr>
          <w:rFonts w:hint="eastAsia" w:ascii="Times New Roman" w:hAnsi="Times New Roman" w:eastAsia="仿宋_GB2312" w:cs="Times New Roman"/>
          <w:color w:val="auto"/>
          <w:sz w:val="28"/>
          <w:szCs w:val="28"/>
          <w:lang w:val="en-US" w:eastAsia="zh-CN"/>
        </w:rPr>
        <w:t>科创</w:t>
      </w:r>
      <w:r>
        <w:rPr>
          <w:rFonts w:hint="eastAsia" w:ascii="Times New Roman" w:hAnsi="Times New Roman" w:eastAsia="仿宋_GB2312" w:cs="Times New Roman"/>
          <w:color w:val="auto"/>
          <w:sz w:val="28"/>
          <w:szCs w:val="28"/>
        </w:rPr>
        <w:t>少年”</w:t>
      </w:r>
      <w:r>
        <w:rPr>
          <w:rFonts w:ascii="Times New Roman" w:hAnsi="Times New Roman" w:eastAsia="仿宋_GB2312" w:cs="Times New Roman"/>
          <w:color w:val="auto"/>
          <w:sz w:val="28"/>
          <w:szCs w:val="28"/>
        </w:rPr>
        <w:t>为主题，</w:t>
      </w:r>
      <w:r>
        <w:rPr>
          <w:rFonts w:hint="eastAsia" w:ascii="Times New Roman" w:hAnsi="Times New Roman" w:eastAsia="仿宋_GB2312" w:cs="Times New Roman"/>
          <w:color w:val="auto"/>
          <w:sz w:val="28"/>
          <w:szCs w:val="28"/>
        </w:rPr>
        <w:t>创意编程成果展作品突出青少年眼中的“数字化变革中的</w:t>
      </w:r>
      <w:r>
        <w:rPr>
          <w:rFonts w:hint="eastAsia" w:ascii="Times New Roman" w:hAnsi="Times New Roman" w:eastAsia="仿宋_GB2312" w:cs="Times New Roman"/>
          <w:color w:val="auto"/>
          <w:sz w:val="28"/>
          <w:szCs w:val="28"/>
          <w:lang w:val="en-US" w:eastAsia="zh-CN"/>
        </w:rPr>
        <w:t>园区</w:t>
      </w:r>
      <w:r>
        <w:rPr>
          <w:rFonts w:hint="eastAsia" w:ascii="Times New Roman" w:hAnsi="Times New Roman" w:eastAsia="仿宋_GB2312" w:cs="Times New Roman"/>
          <w:color w:val="auto"/>
          <w:sz w:val="28"/>
          <w:szCs w:val="28"/>
        </w:rPr>
        <w:t>”，以数字变革塑造面向未来的发展新优势，“走在前，做示范”的</w:t>
      </w:r>
      <w:r>
        <w:rPr>
          <w:rFonts w:hint="eastAsia" w:ascii="Times New Roman" w:hAnsi="Times New Roman" w:eastAsia="仿宋_GB2312" w:cs="Times New Roman"/>
          <w:color w:val="auto"/>
          <w:sz w:val="28"/>
          <w:szCs w:val="28"/>
          <w:lang w:val="en-US" w:eastAsia="zh-CN"/>
        </w:rPr>
        <w:t>园区</w:t>
      </w:r>
      <w:r>
        <w:rPr>
          <w:rFonts w:hint="eastAsia" w:ascii="Times New Roman" w:hAnsi="Times New Roman" w:eastAsia="仿宋_GB2312" w:cs="Times New Roman"/>
          <w:color w:val="auto"/>
          <w:sz w:val="28"/>
          <w:szCs w:val="28"/>
        </w:rPr>
        <w:t>正紧紧依靠数字化改革推进城市数字化转型，不断推动改革突破争先、走向深入，以数字化改革赋能高质量发展。</w:t>
      </w:r>
      <w:r>
        <w:rPr>
          <w:rFonts w:hint="eastAsia" w:ascii="Times New Roman" w:hAnsi="Times New Roman" w:eastAsia="仿宋_GB2312" w:cs="Times New Roman"/>
          <w:color w:val="auto"/>
          <w:sz w:val="28"/>
          <w:szCs w:val="28"/>
          <w:lang w:val="en-US" w:eastAsia="zh-CN"/>
        </w:rPr>
        <w:t>园区</w:t>
      </w:r>
      <w:r>
        <w:rPr>
          <w:rFonts w:hint="eastAsia" w:ascii="Times New Roman" w:hAnsi="Times New Roman" w:eastAsia="仿宋_GB2312" w:cs="Times New Roman"/>
          <w:color w:val="auto"/>
          <w:sz w:val="28"/>
          <w:szCs w:val="28"/>
        </w:rPr>
        <w:t>加快驱动生产方式、生活方式和治理方式变革，统筹数据资源整合共享和开发利用，逐步形成数字经济、数字政府、数字文化、数字社会、数字生态文明融合发展体系，一幕幕数字化改革场景、一项项“硬核”应用成果，激发社会活力，源源不断释放澎湃动能。</w:t>
      </w:r>
      <w:r>
        <w:rPr>
          <w:rFonts w:ascii="Times New Roman" w:hAnsi="Times New Roman" w:eastAsia="仿宋_GB2312" w:cs="Times New Roman"/>
          <w:color w:val="auto"/>
          <w:sz w:val="28"/>
          <w:szCs w:val="28"/>
        </w:rPr>
        <w:t>作品呈现方式可以选择互动艺术、实用工具、科学探索、互动游戏等类型</w:t>
      </w:r>
      <w:r>
        <w:rPr>
          <w:rFonts w:hint="eastAsia" w:ascii="Times New Roman" w:hAnsi="Times New Roman" w:eastAsia="仿宋_GB2312" w:cs="Times New Roman"/>
          <w:color w:val="auto"/>
          <w:sz w:val="28"/>
          <w:szCs w:val="28"/>
        </w:rPr>
        <w:t>，互动趣味性强的项目将更有优势</w:t>
      </w:r>
      <w:r>
        <w:rPr>
          <w:rFonts w:ascii="Times New Roman" w:hAnsi="Times New Roman" w:eastAsia="仿宋_GB2312" w:cs="Times New Roman"/>
          <w:color w:val="auto"/>
          <w:sz w:val="28"/>
          <w:szCs w:val="28"/>
        </w:rPr>
        <w:t>。</w:t>
      </w:r>
    </w:p>
    <w:p w14:paraId="6FB44B69">
      <w:pPr>
        <w:numPr>
          <w:ilvl w:val="0"/>
          <w:numId w:val="1"/>
        </w:numPr>
        <w:spacing w:line="560" w:lineRule="exact"/>
        <w:ind w:left="0" w:leftChars="0" w:firstLine="562" w:firstLineChars="200"/>
        <w:rPr>
          <w:rFonts w:ascii="Times New Roman" w:hAnsi="Times New Roman" w:eastAsia="仿宋_GB2312" w:cs="Times New Roman"/>
          <w:b/>
          <w:color w:val="auto"/>
          <w:sz w:val="28"/>
          <w:szCs w:val="28"/>
        </w:rPr>
      </w:pPr>
      <w:r>
        <w:rPr>
          <w:rFonts w:ascii="Times New Roman" w:hAnsi="Times New Roman" w:eastAsia="仿宋_GB2312" w:cs="Times New Roman"/>
          <w:b/>
          <w:color w:val="auto"/>
          <w:sz w:val="28"/>
          <w:szCs w:val="28"/>
        </w:rPr>
        <w:t>比赛形式：</w:t>
      </w:r>
    </w:p>
    <w:p w14:paraId="449F140C">
      <w:pPr>
        <w:numPr>
          <w:ilvl w:val="0"/>
          <w:numId w:val="0"/>
        </w:numPr>
        <w:spacing w:line="560" w:lineRule="exact"/>
        <w:ind w:firstLine="840" w:firstLineChars="300"/>
        <w:rPr>
          <w:rFonts w:ascii="Times New Roman" w:hAnsi="Times New Roman" w:eastAsia="仿宋_GB2312" w:cs="Times New Roman"/>
          <w:color w:val="auto"/>
          <w:sz w:val="28"/>
          <w:szCs w:val="28"/>
        </w:rPr>
      </w:pPr>
      <w:r>
        <w:rPr>
          <w:rFonts w:ascii="Times New Roman" w:hAnsi="Times New Roman" w:eastAsia="仿宋_GB2312" w:cs="Times New Roman"/>
          <w:color w:val="auto"/>
          <w:sz w:val="28"/>
          <w:szCs w:val="28"/>
        </w:rPr>
        <w:t>比赛所用编程软件不限，</w:t>
      </w:r>
      <w:r>
        <w:rPr>
          <w:rFonts w:hint="eastAsia" w:ascii="Times New Roman" w:hAnsi="Times New Roman" w:eastAsia="仿宋_GB2312" w:cs="Times New Roman"/>
          <w:color w:val="auto"/>
          <w:sz w:val="28"/>
          <w:szCs w:val="28"/>
        </w:rPr>
        <w:t>可使用 Scratch、HTML、Python等各类青少年编程平台，作品最终呈现方式需以有较强的视觉体现。</w:t>
      </w:r>
      <w:r>
        <w:rPr>
          <w:rFonts w:ascii="Times New Roman" w:hAnsi="Times New Roman" w:eastAsia="仿宋_GB2312" w:cs="Times New Roman"/>
          <w:color w:val="auto"/>
          <w:sz w:val="28"/>
          <w:szCs w:val="28"/>
        </w:rPr>
        <w:t>比赛分初赛（作品评审）与复赛（现场答辩）两个环节</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初赛组织专家组对所有提交的作品进行集中评审，再选出入围复赛作品与选手</w:t>
      </w:r>
      <w:r>
        <w:rPr>
          <w:rFonts w:hint="eastAsia" w:ascii="Times New Roman" w:hAnsi="Times New Roman" w:eastAsia="仿宋_GB2312" w:cs="Times New Roman"/>
          <w:color w:val="auto"/>
          <w:sz w:val="28"/>
          <w:szCs w:val="28"/>
        </w:rPr>
        <w:t>，</w:t>
      </w:r>
      <w:r>
        <w:rPr>
          <w:rFonts w:ascii="Times New Roman" w:hAnsi="Times New Roman" w:eastAsia="仿宋_GB2312" w:cs="Times New Roman"/>
          <w:color w:val="auto"/>
          <w:sz w:val="28"/>
          <w:szCs w:val="28"/>
        </w:rPr>
        <w:t>复赛组织现场展示与答辩。</w:t>
      </w:r>
    </w:p>
    <w:p w14:paraId="509CE037">
      <w:pPr>
        <w:spacing w:line="560" w:lineRule="exact"/>
        <w:ind w:firstLine="562"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lang w:val="en-US" w:eastAsia="zh-CN"/>
        </w:rPr>
        <w:t>1.</w:t>
      </w:r>
      <w:r>
        <w:rPr>
          <w:rFonts w:hint="eastAsia" w:ascii="Times New Roman" w:hAnsi="Times New Roman" w:eastAsia="仿宋_GB2312" w:cs="Times New Roman"/>
          <w:b/>
          <w:color w:val="auto"/>
          <w:sz w:val="28"/>
          <w:szCs w:val="28"/>
        </w:rPr>
        <w:t>初赛评审：</w:t>
      </w:r>
      <w:r>
        <w:rPr>
          <w:rFonts w:hint="eastAsia" w:ascii="Times New Roman" w:hAnsi="Times New Roman" w:eastAsia="仿宋_GB2312" w:cs="Times New Roman"/>
          <w:color w:val="auto"/>
          <w:sz w:val="28"/>
          <w:szCs w:val="28"/>
        </w:rPr>
        <w:t>初赛阶段各参赛队员提交</w:t>
      </w:r>
      <w:r>
        <w:rPr>
          <w:rFonts w:ascii="Times New Roman" w:hAnsi="Times New Roman" w:eastAsia="仿宋_GB2312" w:cs="Times New Roman"/>
          <w:color w:val="auto"/>
          <w:sz w:val="28"/>
          <w:szCs w:val="28"/>
        </w:rPr>
        <w:t>3分钟程序演示及解说视频，视频统一采用录屏方式进行录制，格式为MP4，大小不超过30Mb。</w:t>
      </w:r>
    </w:p>
    <w:p w14:paraId="7011D498">
      <w:pPr>
        <w:spacing w:line="560" w:lineRule="exact"/>
        <w:ind w:firstLine="562"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lang w:val="en-US" w:eastAsia="zh-CN"/>
        </w:rPr>
        <w:t>2.</w:t>
      </w:r>
      <w:r>
        <w:rPr>
          <w:rFonts w:hint="eastAsia" w:ascii="Times New Roman" w:hAnsi="Times New Roman" w:eastAsia="仿宋_GB2312" w:cs="Times New Roman"/>
          <w:b/>
          <w:color w:val="auto"/>
          <w:sz w:val="28"/>
          <w:szCs w:val="28"/>
        </w:rPr>
        <w:t>复赛答辩：</w:t>
      </w:r>
      <w:r>
        <w:rPr>
          <w:rFonts w:hint="eastAsia" w:ascii="Times New Roman" w:hAnsi="Times New Roman" w:eastAsia="仿宋_GB2312" w:cs="Times New Roman"/>
          <w:color w:val="auto"/>
          <w:sz w:val="28"/>
          <w:szCs w:val="28"/>
        </w:rPr>
        <w:t>复赛入围选手提前准备好答辩</w:t>
      </w:r>
      <w:r>
        <w:rPr>
          <w:rFonts w:ascii="Times New Roman" w:hAnsi="Times New Roman" w:eastAsia="仿宋_GB2312" w:cs="Times New Roman"/>
          <w:color w:val="auto"/>
          <w:sz w:val="28"/>
          <w:szCs w:val="28"/>
        </w:rPr>
        <w:t>PPT对自己的作品进行</w:t>
      </w:r>
      <w:r>
        <w:rPr>
          <w:rFonts w:hint="eastAsia" w:ascii="Times New Roman" w:hAnsi="Times New Roman" w:eastAsia="仿宋_GB2312" w:cs="Times New Roman"/>
          <w:color w:val="auto"/>
          <w:sz w:val="28"/>
          <w:szCs w:val="28"/>
        </w:rPr>
        <w:t>答辩展示，同时需制作一张80CM*60CM的竖向KT板海报。</w:t>
      </w:r>
    </w:p>
    <w:p w14:paraId="798435B8">
      <w:pPr>
        <w:rPr>
          <w:color w:val="auto"/>
          <w:sz w:val="28"/>
          <w:szCs w:val="28"/>
        </w:rPr>
      </w:pPr>
    </w:p>
    <w:p w14:paraId="2C67911D">
      <w:pPr>
        <w:numPr>
          <w:numId w:val="0"/>
        </w:numPr>
        <w:spacing w:line="560" w:lineRule="exact"/>
        <w:ind w:leftChars="200"/>
        <w:rPr>
          <w:rFonts w:hint="eastAsia" w:ascii="Times New Roman" w:hAnsi="Times New Roman" w:eastAsia="仿宋_GB2312" w:cs="Times New Roman"/>
          <w:b/>
          <w:color w:val="auto"/>
          <w:sz w:val="28"/>
          <w:szCs w:val="28"/>
          <w:lang w:eastAsia="zh-CN"/>
        </w:rPr>
      </w:pPr>
      <w:r>
        <w:rPr>
          <w:rFonts w:hint="eastAsia" w:ascii="Times New Roman" w:hAnsi="Times New Roman" w:eastAsia="仿宋_GB2312" w:cs="Times New Roman"/>
          <w:b/>
          <w:color w:val="auto"/>
          <w:sz w:val="28"/>
          <w:szCs w:val="28"/>
          <w:lang w:val="en-US" w:eastAsia="zh-CN"/>
        </w:rPr>
        <w:t>三、</w:t>
      </w:r>
      <w:r>
        <w:rPr>
          <w:rFonts w:hint="eastAsia" w:ascii="Times New Roman" w:hAnsi="Times New Roman" w:eastAsia="仿宋_GB2312" w:cs="Times New Roman"/>
          <w:b/>
          <w:color w:val="auto"/>
          <w:sz w:val="28"/>
          <w:szCs w:val="28"/>
        </w:rPr>
        <w:t>作品要求</w:t>
      </w:r>
      <w:r>
        <w:rPr>
          <w:rFonts w:hint="eastAsia" w:ascii="Times New Roman" w:hAnsi="Times New Roman" w:eastAsia="仿宋_GB2312" w:cs="Times New Roman"/>
          <w:b/>
          <w:color w:val="auto"/>
          <w:sz w:val="28"/>
          <w:szCs w:val="28"/>
          <w:lang w:eastAsia="zh-CN"/>
        </w:rPr>
        <w:t>：</w:t>
      </w:r>
    </w:p>
    <w:p w14:paraId="4B000166">
      <w:pPr>
        <w:spacing w:line="560" w:lineRule="exact"/>
        <w:ind w:firstLine="562" w:firstLineChars="200"/>
        <w:rPr>
          <w:rFonts w:ascii="Times New Roman" w:hAnsi="Times New Roman" w:eastAsia="仿宋_GB2312" w:cs="Times New Roman"/>
          <w:color w:val="auto"/>
          <w:sz w:val="28"/>
          <w:szCs w:val="28"/>
        </w:rPr>
      </w:pPr>
      <w:r>
        <w:rPr>
          <w:rFonts w:hint="eastAsia" w:ascii="Times New Roman" w:hAnsi="Times New Roman" w:eastAsia="楷体_GB2312" w:cs="Times New Roman"/>
          <w:b/>
          <w:bCs/>
          <w:color w:val="auto"/>
          <w:sz w:val="28"/>
          <w:szCs w:val="28"/>
        </w:rPr>
        <w:t>1. 原创性：</w:t>
      </w:r>
      <w:r>
        <w:rPr>
          <w:rFonts w:hint="eastAsia" w:ascii="Times New Roman" w:hAnsi="Times New Roman" w:eastAsia="仿宋_GB2312" w:cs="Times New Roman"/>
          <w:color w:val="auto"/>
          <w:sz w:val="28"/>
          <w:szCs w:val="28"/>
        </w:rPr>
        <w:t>作品必须为作者原创，无版权争议，若涉及作品原创问题的版权纠纷，由申报者承担责任。同时，发现涉嫌抄袭或侵犯他人著作权的行为，一律取消评奖资格。</w:t>
      </w:r>
    </w:p>
    <w:p w14:paraId="34B93F4C">
      <w:pPr>
        <w:spacing w:line="560" w:lineRule="exact"/>
        <w:ind w:firstLine="562" w:firstLineChars="200"/>
        <w:rPr>
          <w:rFonts w:ascii="Times New Roman" w:hAnsi="Times New Roman" w:eastAsia="仿宋_GB2312" w:cs="Times New Roman"/>
          <w:color w:val="auto"/>
          <w:sz w:val="28"/>
          <w:szCs w:val="28"/>
        </w:rPr>
      </w:pPr>
      <w:r>
        <w:rPr>
          <w:rFonts w:hint="eastAsia" w:ascii="Times New Roman" w:hAnsi="Times New Roman" w:eastAsia="楷体_GB2312" w:cs="Times New Roman"/>
          <w:b/>
          <w:bCs/>
          <w:color w:val="auto"/>
          <w:sz w:val="28"/>
          <w:szCs w:val="28"/>
        </w:rPr>
        <w:t>2. 创新创造：</w:t>
      </w:r>
      <w:r>
        <w:rPr>
          <w:rFonts w:hint="eastAsia" w:ascii="Times New Roman" w:hAnsi="Times New Roman" w:eastAsia="仿宋_GB2312" w:cs="Times New Roman"/>
          <w:color w:val="auto"/>
          <w:sz w:val="28"/>
          <w:szCs w:val="28"/>
        </w:rPr>
        <w:t>作品主题鲜明、创意独特、构思巧妙，且表达形式新颖，充分发挥想象力。</w:t>
      </w:r>
    </w:p>
    <w:p w14:paraId="280D9E56">
      <w:pPr>
        <w:spacing w:line="560" w:lineRule="exact"/>
        <w:ind w:firstLine="562" w:firstLineChars="200"/>
        <w:rPr>
          <w:rFonts w:ascii="Times New Roman" w:hAnsi="Times New Roman" w:eastAsia="仿宋_GB2312" w:cs="Times New Roman"/>
          <w:color w:val="auto"/>
          <w:sz w:val="28"/>
          <w:szCs w:val="28"/>
        </w:rPr>
      </w:pPr>
      <w:r>
        <w:rPr>
          <w:rFonts w:hint="eastAsia" w:ascii="Times New Roman" w:hAnsi="Times New Roman" w:eastAsia="楷体_GB2312" w:cs="Times New Roman"/>
          <w:b/>
          <w:bCs/>
          <w:color w:val="auto"/>
          <w:sz w:val="28"/>
          <w:szCs w:val="28"/>
        </w:rPr>
        <w:t>3. 设计思想：</w:t>
      </w:r>
      <w:r>
        <w:rPr>
          <w:rFonts w:hint="eastAsia" w:ascii="Times New Roman" w:hAnsi="Times New Roman" w:eastAsia="仿宋_GB2312" w:cs="Times New Roman"/>
          <w:color w:val="auto"/>
          <w:sz w:val="28"/>
          <w:szCs w:val="28"/>
        </w:rPr>
        <w:t>作品构思完整、内容主题清晰、有始有终，创意来源于学习与生活，积极健康，反映青少年的年龄心智特点。</w:t>
      </w:r>
    </w:p>
    <w:p w14:paraId="41E86B60">
      <w:pPr>
        <w:spacing w:line="560" w:lineRule="exact"/>
        <w:ind w:firstLine="562" w:firstLineChars="200"/>
        <w:rPr>
          <w:rFonts w:ascii="Times New Roman" w:hAnsi="Times New Roman" w:eastAsia="仿宋_GB2312" w:cs="Times New Roman"/>
          <w:color w:val="auto"/>
          <w:sz w:val="28"/>
          <w:szCs w:val="28"/>
        </w:rPr>
      </w:pPr>
      <w:r>
        <w:rPr>
          <w:rFonts w:hint="eastAsia" w:ascii="Times New Roman" w:hAnsi="Times New Roman" w:eastAsia="楷体_GB2312" w:cs="Times New Roman"/>
          <w:b/>
          <w:bCs/>
          <w:color w:val="auto"/>
          <w:sz w:val="28"/>
          <w:szCs w:val="28"/>
        </w:rPr>
        <w:t>4. 用户体验：</w:t>
      </w:r>
      <w:r>
        <w:rPr>
          <w:rFonts w:hint="eastAsia" w:ascii="Times New Roman" w:hAnsi="Times New Roman" w:eastAsia="仿宋_GB2312" w:cs="Times New Roman"/>
          <w:color w:val="auto"/>
          <w:sz w:val="28"/>
          <w:szCs w:val="28"/>
        </w:rPr>
        <w:t>观看或操作流程简易，无复杂、多余步骤，人机交互顺畅，用户体验良好。</w:t>
      </w:r>
    </w:p>
    <w:p w14:paraId="262948D3">
      <w:pPr>
        <w:spacing w:line="560" w:lineRule="exact"/>
        <w:ind w:firstLine="562" w:firstLineChars="200"/>
        <w:rPr>
          <w:rFonts w:ascii="Times New Roman" w:hAnsi="Times New Roman" w:eastAsia="仿宋_GB2312" w:cs="Times New Roman"/>
          <w:color w:val="auto"/>
          <w:sz w:val="28"/>
          <w:szCs w:val="28"/>
        </w:rPr>
      </w:pPr>
      <w:r>
        <w:rPr>
          <w:rFonts w:hint="eastAsia" w:ascii="Times New Roman" w:hAnsi="Times New Roman" w:eastAsia="楷体_GB2312" w:cs="Times New Roman"/>
          <w:b/>
          <w:bCs/>
          <w:color w:val="auto"/>
          <w:sz w:val="28"/>
          <w:szCs w:val="28"/>
        </w:rPr>
        <w:t>5. 艺术审美：</w:t>
      </w:r>
      <w:r>
        <w:rPr>
          <w:rFonts w:hint="eastAsia" w:ascii="Times New Roman" w:hAnsi="Times New Roman" w:eastAsia="仿宋_GB2312" w:cs="Times New Roman"/>
          <w:color w:val="auto"/>
          <w:sz w:val="28"/>
          <w:szCs w:val="28"/>
        </w:rPr>
        <w:t>界面美观、布局合理，给人以审美愉悦和审美享受，角色造型生动丰富，动画动效协调自然，音乐音效使用恰到好处，运用的素材有实际意义，充分表现主题。</w:t>
      </w:r>
    </w:p>
    <w:p w14:paraId="425E3D86">
      <w:pPr>
        <w:spacing w:line="560" w:lineRule="exact"/>
        <w:ind w:firstLine="562" w:firstLineChars="200"/>
        <w:rPr>
          <w:rFonts w:ascii="Times New Roman" w:hAnsi="Times New Roman" w:eastAsia="仿宋_GB2312" w:cs="Times New Roman"/>
          <w:color w:val="auto"/>
          <w:sz w:val="28"/>
          <w:szCs w:val="28"/>
        </w:rPr>
      </w:pPr>
      <w:r>
        <w:rPr>
          <w:rFonts w:hint="eastAsia" w:ascii="Times New Roman" w:hAnsi="Times New Roman" w:eastAsia="楷体_GB2312" w:cs="Times New Roman"/>
          <w:b/>
          <w:bCs/>
          <w:color w:val="auto"/>
          <w:sz w:val="28"/>
          <w:szCs w:val="28"/>
        </w:rPr>
        <w:t>6. 程序技术：</w:t>
      </w:r>
      <w:r>
        <w:rPr>
          <w:rFonts w:hint="eastAsia" w:ascii="Times New Roman" w:hAnsi="Times New Roman" w:eastAsia="仿宋_GB2312" w:cs="Times New Roman"/>
          <w:color w:val="auto"/>
          <w:sz w:val="28"/>
          <w:szCs w:val="28"/>
        </w:rPr>
        <w:t>合理正确地使用编程技术，程序运行稳定、流畅、高效，无明显错误，程序结构划分合理，代码编写规范，清晰易读，通过多元、合理的算法解决复杂的计算问题，实现程序的丰富效果。</w:t>
      </w:r>
    </w:p>
    <w:p w14:paraId="11965D27">
      <w:pPr>
        <w:spacing w:line="560" w:lineRule="exact"/>
        <w:ind w:firstLine="562" w:firstLineChars="200"/>
        <w:rPr>
          <w:rFonts w:ascii="Times New Roman" w:hAnsi="Times New Roman" w:eastAsia="仿宋_GB2312" w:cs="Times New Roman"/>
          <w:color w:val="auto"/>
          <w:sz w:val="28"/>
          <w:szCs w:val="28"/>
        </w:rPr>
      </w:pPr>
      <w:r>
        <w:rPr>
          <w:rFonts w:hint="eastAsia" w:ascii="Times New Roman" w:hAnsi="Times New Roman" w:eastAsia="楷体_GB2312" w:cs="Times New Roman"/>
          <w:b/>
          <w:bCs/>
          <w:color w:val="auto"/>
          <w:sz w:val="28"/>
          <w:szCs w:val="28"/>
        </w:rPr>
        <w:t>7. 权限使用：</w:t>
      </w:r>
      <w:r>
        <w:rPr>
          <w:rFonts w:hint="eastAsia" w:ascii="Times New Roman" w:hAnsi="Times New Roman" w:eastAsia="仿宋_GB2312" w:cs="Times New Roman"/>
          <w:color w:val="auto"/>
          <w:sz w:val="28"/>
          <w:szCs w:val="28"/>
        </w:rPr>
        <w:t>作品著作权归作者所有，主办单位对获奖作品享有宣传和展示的权利。</w:t>
      </w:r>
    </w:p>
    <w:p w14:paraId="1CDDFFB6">
      <w:pPr>
        <w:spacing w:line="560" w:lineRule="exact"/>
        <w:ind w:firstLine="560" w:firstLineChars="200"/>
        <w:rPr>
          <w:rFonts w:ascii="Times New Roman" w:hAnsi="Times New Roman" w:eastAsia="黑体" w:cs="Times New Roman"/>
          <w:color w:val="auto"/>
          <w:sz w:val="28"/>
          <w:szCs w:val="28"/>
        </w:rPr>
      </w:pPr>
      <w:r>
        <w:rPr>
          <w:rFonts w:hint="eastAsia" w:ascii="Times New Roman" w:hAnsi="Times New Roman" w:eastAsia="黑体" w:cs="Times New Roman"/>
          <w:color w:val="auto"/>
          <w:sz w:val="28"/>
          <w:szCs w:val="28"/>
        </w:rPr>
        <w:t>四、比赛流程</w:t>
      </w:r>
    </w:p>
    <w:p w14:paraId="38CE3963">
      <w:pPr>
        <w:spacing w:line="560" w:lineRule="exact"/>
        <w:ind w:firstLine="560" w:firstLineChars="20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比赛分初赛（作品评审）与复赛（现场答辩）两个环节，即：初赛组织专家组对所有提交的作品进行集中评审，再选出入围复赛作品与选手，复赛组织现场展示与答辩。</w:t>
      </w:r>
    </w:p>
    <w:p w14:paraId="7138ABF4">
      <w:pPr>
        <w:spacing w:line="560" w:lineRule="exact"/>
        <w:ind w:firstLine="562" w:firstLineChars="200"/>
        <w:rPr>
          <w:rFonts w:ascii="Times New Roman" w:hAnsi="Times New Roman" w:eastAsia="仿宋_GB2312" w:cs="Times New Roman"/>
          <w:color w:val="auto"/>
          <w:sz w:val="28"/>
          <w:szCs w:val="28"/>
        </w:rPr>
      </w:pPr>
      <w:r>
        <w:rPr>
          <w:rFonts w:hint="eastAsia" w:ascii="Times New Roman" w:hAnsi="Times New Roman" w:eastAsia="楷体_GB2312" w:cs="Times New Roman"/>
          <w:b/>
          <w:bCs/>
          <w:color w:val="auto"/>
          <w:sz w:val="28"/>
          <w:szCs w:val="28"/>
        </w:rPr>
        <w:t>（一）初赛评审：</w:t>
      </w:r>
      <w:r>
        <w:rPr>
          <w:rFonts w:hint="eastAsia" w:ascii="Times New Roman" w:hAnsi="Times New Roman" w:eastAsia="仿宋_GB2312" w:cs="Times New Roman"/>
          <w:color w:val="auto"/>
          <w:sz w:val="28"/>
          <w:szCs w:val="28"/>
        </w:rPr>
        <w:t>初赛阶段各参赛队员提交3分钟程序演示及解说视频。各参赛学校在规定时间内将所有参赛学生作品统一压缩打包后发送邮箱3893254355@qq.com。其中，压缩包命名格式：参赛组别+学校名称+作品数量；视频作品命名格式：参赛组别+学生姓名+作品名称。需提交视频文件</w:t>
      </w:r>
      <w:r>
        <w:rPr>
          <w:rFonts w:hint="eastAsia" w:ascii="Times New Roman" w:hAnsi="Times New Roman" w:eastAsia="仿宋_GB2312" w:cs="Times New Roman"/>
          <w:color w:val="auto"/>
          <w:sz w:val="28"/>
          <w:szCs w:val="28"/>
          <w:lang w:val="en-US" w:eastAsia="zh-CN"/>
        </w:rPr>
        <w:t>+</w:t>
      </w:r>
      <w:r>
        <w:rPr>
          <w:rFonts w:hint="eastAsia" w:ascii="Times New Roman" w:hAnsi="Times New Roman" w:eastAsia="仿宋_GB2312" w:cs="Times New Roman"/>
          <w:color w:val="auto"/>
          <w:sz w:val="28"/>
          <w:szCs w:val="28"/>
        </w:rPr>
        <w:t>程序源代码。每个学校同一组别不超过4个作品，每个作品参数选手1至2人。</w:t>
      </w:r>
    </w:p>
    <w:p w14:paraId="65644359">
      <w:pPr>
        <w:ind w:firstLine="562" w:firstLineChars="200"/>
        <w:rPr>
          <w:rFonts w:hint="eastAsia" w:eastAsia="仿宋"/>
          <w:color w:val="auto"/>
          <w:sz w:val="28"/>
          <w:szCs w:val="28"/>
          <w:lang w:val="en-US" w:eastAsia="zh-CN"/>
        </w:rPr>
      </w:pPr>
      <w:r>
        <w:rPr>
          <w:rFonts w:hint="eastAsia" w:ascii="Times New Roman" w:hAnsi="Times New Roman" w:eastAsia="仿宋_GB2312" w:cs="Times New Roman"/>
          <w:b/>
          <w:bCs/>
          <w:color w:val="auto"/>
          <w:sz w:val="28"/>
          <w:szCs w:val="28"/>
        </w:rPr>
        <w:t>视频录屏要求：</w:t>
      </w:r>
      <w:r>
        <w:rPr>
          <w:rFonts w:hint="eastAsia" w:ascii="Times New Roman" w:hAnsi="Times New Roman" w:eastAsia="仿宋_GB2312" w:cs="Times New Roman"/>
          <w:color w:val="auto"/>
          <w:sz w:val="28"/>
          <w:szCs w:val="28"/>
        </w:rPr>
        <w:t>（1）视频时长不超过3分钟；（2）统一采用录屏方式录制，格式为MP4，大小不超过30Mb；（3）至少由1名参赛选手进行作品解读，选手采用画中画功能全程入境；（4）视频须包括程序讲解与作品演示两部分，并在开始处显示作品名称、学校、选手姓名。</w:t>
      </w:r>
    </w:p>
    <w:p w14:paraId="07790D9F">
      <w:pPr>
        <w:spacing w:line="560" w:lineRule="exact"/>
        <w:ind w:firstLine="562" w:firstLineChars="200"/>
        <w:rPr>
          <w:rFonts w:ascii="Times New Roman" w:hAnsi="Times New Roman" w:eastAsia="仿宋_GB2312" w:cs="Times New Roman"/>
          <w:color w:val="auto"/>
          <w:sz w:val="28"/>
          <w:szCs w:val="28"/>
        </w:rPr>
      </w:pPr>
      <w:r>
        <w:rPr>
          <w:rFonts w:hint="eastAsia" w:ascii="Times New Roman" w:hAnsi="Times New Roman" w:eastAsia="楷体_GB2312" w:cs="Times New Roman"/>
          <w:b/>
          <w:bCs/>
          <w:color w:val="auto"/>
          <w:sz w:val="28"/>
          <w:szCs w:val="28"/>
        </w:rPr>
        <w:t>（二）复赛答辩：</w:t>
      </w:r>
      <w:r>
        <w:rPr>
          <w:rFonts w:hint="eastAsia" w:ascii="Times New Roman" w:hAnsi="Times New Roman" w:eastAsia="仿宋_GB2312" w:cs="Times New Roman"/>
          <w:color w:val="auto"/>
          <w:sz w:val="28"/>
          <w:szCs w:val="28"/>
        </w:rPr>
        <w:t>复赛入围选手提前准备好答辩PPT对自己的作品进行答辩展示，同时需制作一张80CM*60CM的竖向KT板海报。复赛答辩需将源代码及个人电脑带到比赛现场用于展示及评委审查，PPT提前拷入U盘，现场将统一提供PPT播放电脑。</w:t>
      </w:r>
    </w:p>
    <w:p w14:paraId="14A6603A">
      <w:pPr>
        <w:rPr>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EEBB9"/>
    <w:multiLevelType w:val="singleLevel"/>
    <w:tmpl w:val="ED3EEBB9"/>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jZThmYzQ2ZGY1Y2U3MDM4ZDVhYTQ1Y2ZiNmJmNTAifQ=="/>
  </w:docVars>
  <w:rsids>
    <w:rsidRoot w:val="19F006E4"/>
    <w:rsid w:val="19F00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heme="minorBidi"/>
      <w:kern w:val="2"/>
      <w:sz w:val="32"/>
      <w:szCs w:val="3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2024-09-28T03:06:00Z</dcterms:created>
  <dc:creator>你懂的</dc:creator>
  <cp:lastModifiedBy>你懂的</cp:lastModifiedBy>
  <dcterms:modified xsi:type="dcterms:W3CDTF">2024-09-28T05:54:26Z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C9EDCEB78824476A8386D02C1DF83AB6_11</vt:lpwstr>
  </property>
</Properties>
</file>