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0" w:type="auto"/>
        <w:tblInd w:w="108" w:type="dxa"/>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14"/>
      </w:tblGrid>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 w:hRule="atLeast"/>
        </w:trPr>
        <w:tc>
          <w:tcPr>
            <w:tcW w:w="8959" w:type="dxa"/>
            <w:tcBorders>
              <w:top w:val="nil"/>
              <w:bottom w:val="nil"/>
            </w:tcBorders>
            <w:shd w:val="clear" w:color="auto" w:fill="auto"/>
          </w:tcPr>
          <w:p>
            <w:pPr>
              <w:spacing w:line="440" w:lineRule="exact"/>
              <w:rPr>
                <w:rFonts w:ascii="方正姚体" w:eastAsia="方正姚体"/>
                <w:w w:val="80"/>
                <w:szCs w:val="21"/>
              </w:rPr>
            </w:pPr>
            <w:bookmarkStart w:id="0" w:name="Content"/>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 w:hRule="atLeast"/>
        </w:trPr>
        <w:tc>
          <w:tcPr>
            <w:tcW w:w="8959" w:type="dxa"/>
            <w:tcBorders>
              <w:top w:val="nil"/>
            </w:tcBorders>
            <w:shd w:val="clear" w:color="auto" w:fill="auto"/>
          </w:tcPr>
          <w:p>
            <w:pPr>
              <w:spacing w:line="440" w:lineRule="exact"/>
              <w:rPr>
                <w:rFonts w:ascii="方正姚体" w:eastAsia="方正姚体"/>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shd w:val="clear" w:color="auto" w:fill="auto"/>
          </w:tcPr>
          <w:p>
            <w:pPr>
              <w:ind w:left="-84" w:leftChars="-40" w:right="-113" w:rightChars="-54"/>
              <w:jc w:val="distribute"/>
              <w:rPr>
                <w:rFonts w:ascii="方正姚体" w:eastAsia="方正姚体"/>
                <w:color w:val="FF0000"/>
                <w:spacing w:val="-40"/>
                <w:w w:val="64"/>
                <w:sz w:val="120"/>
                <w:szCs w:val="120"/>
              </w:rPr>
            </w:pPr>
            <w:bookmarkStart w:id="1" w:name="红头单位名称"/>
            <w:r>
              <w:rPr>
                <w:rFonts w:hint="eastAsia" w:ascii="方正姚体" w:eastAsia="方正姚体"/>
                <w:color w:val="FF0000"/>
                <w:spacing w:val="-40"/>
                <w:w w:val="64"/>
                <w:sz w:val="120"/>
                <w:szCs w:val="120"/>
              </w:rPr>
              <w:t>苏州工业园区教育局</w:t>
            </w:r>
            <w:bookmarkEnd w:id="1"/>
            <w:r>
              <w:rPr>
                <w:rFonts w:hint="eastAsia" w:ascii="方正姚体" w:eastAsia="方正姚体"/>
                <w:color w:val="FF0000"/>
                <w:spacing w:val="-40"/>
                <w:w w:val="64"/>
                <w:sz w:val="120"/>
                <w:szCs w:val="120"/>
              </w:rPr>
              <w:t>文件</w:t>
            </w: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bottom w:val="nil"/>
            </w:tcBorders>
            <w:shd w:val="clear" w:color="auto" w:fill="auto"/>
          </w:tcPr>
          <w:p>
            <w:pPr>
              <w:spacing w:line="560" w:lineRule="atLeast"/>
              <w:rPr>
                <w:rFonts w:ascii="仿宋_GB2312" w:eastAsia="仿宋_GB2312"/>
                <w:w w:val="80"/>
                <w:sz w:val="32"/>
                <w:szCs w:val="32"/>
              </w:rPr>
            </w:pPr>
          </w:p>
          <w:p>
            <w:pPr>
              <w:spacing w:line="560" w:lineRule="atLeast"/>
              <w:rPr>
                <w:rFonts w:ascii="仿宋_GB2312" w:eastAsia="仿宋_GB2312"/>
                <w:w w:val="80"/>
                <w:sz w:val="32"/>
                <w:szCs w:val="32"/>
              </w:rPr>
            </w:pPr>
          </w:p>
        </w:tc>
      </w:tr>
      <w:tr>
        <w:tblPrEx>
          <w:tblBorders>
            <w:top w:val="single" w:color="FF0000" w:sz="2" w:space="0"/>
            <w:left w:val="none" w:color="auto" w:sz="0" w:space="0"/>
            <w:bottom w:val="single" w:color="FF0000" w:sz="48" w:space="0"/>
            <w:right w:val="none" w:color="auto" w:sz="0" w:space="0"/>
            <w:insideH w:val="none" w:color="auto" w:sz="0" w:space="0"/>
            <w:insideV w:val="none" w:color="auto" w:sz="0" w:space="0"/>
          </w:tblBorders>
          <w:tblCellMar>
            <w:top w:w="0" w:type="dxa"/>
            <w:left w:w="108" w:type="dxa"/>
            <w:bottom w:w="0" w:type="dxa"/>
            <w:right w:w="108" w:type="dxa"/>
          </w:tblCellMar>
        </w:tblPrEx>
        <w:tc>
          <w:tcPr>
            <w:tcW w:w="8959" w:type="dxa"/>
            <w:tcBorders>
              <w:top w:val="nil"/>
              <w:bottom w:val="single" w:color="FF0000" w:sz="18" w:space="0"/>
            </w:tcBorders>
            <w:shd w:val="clear" w:color="auto" w:fill="auto"/>
          </w:tcPr>
          <w:p>
            <w:pPr>
              <w:spacing w:after="156" w:afterLines="50" w:line="560" w:lineRule="atLeast"/>
              <w:jc w:val="center"/>
              <w:rPr>
                <w:rFonts w:eastAsia="仿宋_GB2312"/>
                <w:sz w:val="32"/>
                <w:szCs w:val="32"/>
              </w:rPr>
            </w:pPr>
            <w:bookmarkStart w:id="2" w:name="文号"/>
            <w:r>
              <w:rPr>
                <w:rFonts w:hint="eastAsia" w:eastAsia="仿宋_GB2312"/>
                <w:sz w:val="32"/>
                <w:szCs w:val="32"/>
              </w:rPr>
              <w:t>苏园教〔2023〕</w:t>
            </w:r>
            <w:r>
              <w:rPr>
                <w:rFonts w:hint="default" w:eastAsia="仿宋_GB2312"/>
                <w:sz w:val="32"/>
                <w:szCs w:val="32"/>
              </w:rPr>
              <w:t>31</w:t>
            </w:r>
            <w:bookmarkStart w:id="5" w:name="_GoBack"/>
            <w:bookmarkEnd w:id="5"/>
            <w:r>
              <w:rPr>
                <w:rFonts w:hint="eastAsia" w:eastAsia="仿宋_GB2312"/>
                <w:sz w:val="32"/>
                <w:szCs w:val="32"/>
              </w:rPr>
              <w:t>号</w:t>
            </w:r>
            <w:bookmarkEnd w:id="2"/>
          </w:p>
        </w:tc>
      </w:tr>
    </w:tbl>
    <w:p>
      <w:pPr>
        <w:rPr>
          <w:rFonts w:ascii="仿宋_GB2312" w:eastAsia="仿宋_GB2312"/>
          <w:sz w:val="32"/>
          <w:szCs w:val="32"/>
        </w:rPr>
      </w:pPr>
    </w:p>
    <w:p>
      <w:pPr>
        <w:spacing w:line="600" w:lineRule="exact"/>
        <w:jc w:val="center"/>
        <w:rPr>
          <w:rFonts w:eastAsia="华文中宋"/>
          <w:sz w:val="44"/>
          <w:szCs w:val="44"/>
        </w:rPr>
      </w:pPr>
      <w:r>
        <w:rPr>
          <w:rFonts w:hint="eastAsia" w:eastAsia="华文中宋"/>
          <w:sz w:val="44"/>
          <w:szCs w:val="44"/>
        </w:rPr>
        <w:t>关于组织2020、2021年苏州工业园区</w:t>
      </w:r>
    </w:p>
    <w:p>
      <w:pPr>
        <w:spacing w:line="600" w:lineRule="exact"/>
        <w:jc w:val="center"/>
        <w:rPr>
          <w:rFonts w:hint="eastAsia" w:eastAsia="华文中宋"/>
          <w:sz w:val="44"/>
          <w:szCs w:val="44"/>
        </w:rPr>
      </w:pPr>
      <w:r>
        <w:rPr>
          <w:rFonts w:hint="eastAsia" w:eastAsia="华文中宋"/>
          <w:sz w:val="44"/>
          <w:szCs w:val="44"/>
        </w:rPr>
        <w:t>教育特聘人才认定和评审的通知</w:t>
      </w:r>
    </w:p>
    <w:p>
      <w:pPr>
        <w:spacing w:line="680" w:lineRule="exact"/>
        <w:jc w:val="center"/>
        <w:rPr>
          <w:rFonts w:eastAsia="华文中宋"/>
          <w:sz w:val="44"/>
          <w:szCs w:val="44"/>
        </w:rPr>
      </w:pPr>
    </w:p>
    <w:p>
      <w:pPr>
        <w:overflowPunct w:val="0"/>
        <w:adjustRightInd w:val="0"/>
        <w:snapToGrid w:val="0"/>
        <w:spacing w:line="560" w:lineRule="exact"/>
        <w:rPr>
          <w:rFonts w:ascii="仿宋_GB2312" w:eastAsia="仿宋_GB2312"/>
          <w:sz w:val="32"/>
        </w:rPr>
      </w:pPr>
      <w:r>
        <w:rPr>
          <w:rFonts w:hint="eastAsia" w:ascii="仿宋_GB2312" w:eastAsia="仿宋_GB2312"/>
          <w:sz w:val="32"/>
        </w:rPr>
        <w:t>各相关单位：</w:t>
      </w:r>
    </w:p>
    <w:p>
      <w:pPr>
        <w:pStyle w:val="7"/>
        <w:spacing w:line="360" w:lineRule="auto"/>
        <w:rPr>
          <w:rFonts w:hint="eastAsia" w:ascii="仿宋_GB2312" w:eastAsia="仿宋_GB2312" w:cs="FangSong"/>
        </w:rPr>
      </w:pPr>
      <w:r>
        <w:rPr>
          <w:rFonts w:hint="eastAsia" w:ascii="仿宋_GB2312" w:eastAsia="仿宋_GB2312" w:cs="FangSong"/>
        </w:rPr>
        <w:t>根据《关于进一步推进实施苏州工业园区“金鸡湖人才计划”的意见》（苏园工〔2021〕158号）、《苏州工业园区教育人才支持计划实施细则》（苏园办〔2023〕2号）的文件精神，为进一步助推园区教育高质量发展，加快建设党和人民满意的教育人才队伍，经研究，现就开展2020、2021年苏州工业园区教育特聘人才认定和评审工作通知如下：</w:t>
      </w:r>
    </w:p>
    <w:p>
      <w:pPr>
        <w:spacing w:line="360" w:lineRule="auto"/>
        <w:ind w:firstLine="643" w:firstLineChars="200"/>
        <w:rPr>
          <w:rFonts w:hint="eastAsia" w:ascii="楷体_GB2312" w:hAnsi="FangSong" w:eastAsia="楷体_GB2312" w:cs="FangSong"/>
          <w:b/>
          <w:bCs/>
          <w:sz w:val="32"/>
          <w:szCs w:val="32"/>
        </w:rPr>
      </w:pPr>
      <w:r>
        <w:rPr>
          <w:rFonts w:hint="eastAsia" w:ascii="楷体_GB2312" w:hAnsi="FangSong" w:eastAsia="楷体_GB2312" w:cs="FangSong"/>
          <w:b/>
          <w:bCs/>
          <w:sz w:val="32"/>
          <w:szCs w:val="32"/>
        </w:rPr>
        <w:t>一、范围和对象</w:t>
      </w:r>
    </w:p>
    <w:p>
      <w:pPr>
        <w:pStyle w:val="7"/>
        <w:spacing w:line="360" w:lineRule="auto"/>
        <w:rPr>
          <w:rFonts w:hint="eastAsia" w:ascii="仿宋_GB2312" w:eastAsia="仿宋_GB2312" w:cs="FangSong"/>
        </w:rPr>
      </w:pPr>
      <w:r>
        <w:rPr>
          <w:rFonts w:hint="eastAsia" w:ascii="仿宋_GB2312" w:eastAsia="仿宋_GB2312" w:cs="FangSong"/>
        </w:rPr>
        <w:t>2020、2021年，由教师发展中心、青少年活动中心、园区各级各类公办职业院校、中小学、幼儿园从区外招聘引进的具有较高教育教学理论水平和较强创新实践能力的教育人才。民办学校可参照执行，特聘人才奖励金由管委会按照50%配套执行。</w:t>
      </w:r>
    </w:p>
    <w:p>
      <w:pPr>
        <w:spacing w:line="360" w:lineRule="auto"/>
        <w:ind w:firstLine="643" w:firstLineChars="200"/>
        <w:rPr>
          <w:rFonts w:hint="eastAsia" w:ascii="楷体_GB2312" w:hAnsi="FangSong" w:eastAsia="楷体_GB2312" w:cs="FangSong"/>
          <w:b/>
          <w:bCs/>
          <w:sz w:val="32"/>
          <w:szCs w:val="32"/>
        </w:rPr>
      </w:pPr>
      <w:r>
        <w:rPr>
          <w:rFonts w:hint="eastAsia" w:ascii="楷体_GB2312" w:hAnsi="FangSong" w:eastAsia="楷体_GB2312" w:cs="FangSong"/>
          <w:b/>
          <w:bCs/>
          <w:sz w:val="32"/>
          <w:szCs w:val="32"/>
        </w:rPr>
        <w:t>二、类别和资格条件</w:t>
      </w:r>
    </w:p>
    <w:p>
      <w:pPr>
        <w:spacing w:line="360" w:lineRule="auto"/>
        <w:ind w:firstLine="645"/>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特聘人才分为A、B、C、D四类，原则上不超过50周岁。其中A类人才直接认定，B类人才分直接认定和评审两种形式，C类人才和D类人才均需评审，参评条件详见</w:t>
      </w:r>
      <w:r>
        <w:rPr>
          <w:rFonts w:hint="eastAsia" w:ascii="仿宋_GB2312" w:hAnsi="FangSong" w:eastAsia="仿宋_GB2312" w:cs="FangSong"/>
          <w:snapToGrid w:val="0"/>
          <w:kern w:val="0"/>
          <w:sz w:val="32"/>
          <w:szCs w:val="32"/>
        </w:rPr>
        <w:t>《苏州工业园区教育人才支持计划实施</w:t>
      </w:r>
      <w:r>
        <w:rPr>
          <w:rFonts w:hint="eastAsia" w:ascii="仿宋_GB2312" w:hAnsi="FangSong" w:eastAsia="仿宋_GB2312" w:cs="FangSong"/>
          <w:sz w:val="32"/>
          <w:szCs w:val="32"/>
        </w:rPr>
        <w:t>细则</w:t>
      </w:r>
      <w:r>
        <w:rPr>
          <w:rFonts w:hint="eastAsia" w:ascii="仿宋_GB2312" w:hAnsi="FangSong" w:eastAsia="仿宋_GB2312" w:cs="FangSong"/>
          <w:snapToGrid w:val="0"/>
          <w:kern w:val="0"/>
          <w:sz w:val="32"/>
          <w:szCs w:val="32"/>
        </w:rPr>
        <w:t>》（附件1）</w:t>
      </w:r>
      <w:r>
        <w:rPr>
          <w:rFonts w:hint="eastAsia" w:ascii="仿宋_GB2312" w:hAnsi="FangSong" w:eastAsia="仿宋_GB2312" w:cs="FangSong"/>
          <w:sz w:val="32"/>
          <w:szCs w:val="32"/>
        </w:rPr>
        <w:t>。</w:t>
      </w:r>
    </w:p>
    <w:p>
      <w:pPr>
        <w:spacing w:line="360" w:lineRule="auto"/>
        <w:ind w:firstLine="643" w:firstLineChars="200"/>
        <w:rPr>
          <w:rFonts w:hint="eastAsia" w:ascii="楷体_GB2312" w:hAnsi="FangSong" w:eastAsia="楷体_GB2312" w:cs="FangSong"/>
          <w:b/>
          <w:bCs/>
          <w:sz w:val="32"/>
          <w:szCs w:val="32"/>
        </w:rPr>
      </w:pPr>
      <w:r>
        <w:rPr>
          <w:rFonts w:hint="eastAsia" w:ascii="楷体_GB2312" w:hAnsi="FangSong" w:eastAsia="楷体_GB2312" w:cs="FangSong"/>
          <w:b/>
          <w:bCs/>
          <w:sz w:val="32"/>
          <w:szCs w:val="32"/>
        </w:rPr>
        <w:t>三、评审和认定程序</w:t>
      </w:r>
    </w:p>
    <w:p>
      <w:pPr>
        <w:pStyle w:val="8"/>
        <w:spacing w:line="360" w:lineRule="auto"/>
        <w:ind w:firstLine="643"/>
        <w:rPr>
          <w:rFonts w:hint="eastAsia" w:ascii="仿宋_GB2312" w:eastAsia="仿宋_GB2312" w:cs="FangSong"/>
        </w:rPr>
      </w:pPr>
      <w:r>
        <w:rPr>
          <w:rFonts w:hint="eastAsia" w:ascii="仿宋_GB2312" w:eastAsia="仿宋_GB2312" w:cs="FangSong"/>
          <w:b w:val="0"/>
          <w:bCs w:val="0"/>
        </w:rPr>
        <w:t>（一）</w:t>
      </w:r>
      <w:r>
        <w:rPr>
          <w:rFonts w:hint="eastAsia" w:ascii="仿宋_GB2312" w:eastAsia="仿宋_GB2312" w:cs="FangSong"/>
        </w:rPr>
        <w:t>直接认定的特聘人才</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1.用人单位申报,填写《申报表》并提供相关证明材料。</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2.专家初审，提出初审意见。</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3.教育党委（基础教育类）或科教创新区党工委（职业教育类）召开党委会（党工委会）审核后提出建议名单。</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4.报人才办主任会议审议。</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5.报党工委审定后公示。</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6.公示无异议的，发文公布。</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7.给予资助，签订人才服务协议，按照规定启动资助程序，享受相应待遇。</w:t>
      </w:r>
    </w:p>
    <w:p>
      <w:pPr>
        <w:pStyle w:val="8"/>
        <w:spacing w:line="360" w:lineRule="auto"/>
        <w:rPr>
          <w:rFonts w:hint="eastAsia" w:ascii="仿宋_GB2312" w:eastAsia="仿宋_GB2312" w:cs="FangSong"/>
        </w:rPr>
      </w:pPr>
      <w:r>
        <w:rPr>
          <w:rFonts w:hint="eastAsia" w:ascii="仿宋_GB2312" w:eastAsia="仿宋_GB2312" w:cs="FangSong"/>
        </w:rPr>
        <w:t>（二）需评审的特聘人才</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1.用人单位按照文件规定在做好申报人员资格、《申报表》审核，申报材料验证基础上，客观填写推荐评议报告和推荐意见。</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2.专家评审，形成初评意见。</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3.教育党委（基础教育类）或科教创新区党工委（职业教育类）召开党委会（党工委会）审核后提出建议名单。</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4.报人才办主任会议审议后公示（其中B类人才需报党工委审定后公示）。</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5.公示无异议的，发文公布。</w:t>
      </w:r>
    </w:p>
    <w:p>
      <w:pPr>
        <w:spacing w:line="360" w:lineRule="auto"/>
        <w:ind w:firstLine="645"/>
        <w:rPr>
          <w:rFonts w:hint="eastAsia" w:ascii="仿宋_GB2312" w:hAnsi="FangSong" w:eastAsia="仿宋_GB2312" w:cs="FangSong"/>
          <w:sz w:val="32"/>
          <w:szCs w:val="32"/>
        </w:rPr>
      </w:pPr>
      <w:r>
        <w:rPr>
          <w:rFonts w:hint="eastAsia" w:ascii="仿宋_GB2312" w:hAnsi="FangSong" w:eastAsia="仿宋_GB2312" w:cs="FangSong"/>
          <w:sz w:val="32"/>
          <w:szCs w:val="32"/>
        </w:rPr>
        <w:t>6.给予资助，签订人才服务协议，按照规定启动资助程序，享受相应待遇。</w:t>
      </w:r>
    </w:p>
    <w:p>
      <w:pPr>
        <w:spacing w:line="360" w:lineRule="auto"/>
        <w:ind w:firstLine="643" w:firstLineChars="200"/>
        <w:rPr>
          <w:rFonts w:hint="eastAsia" w:ascii="楷体_GB2312" w:hAnsi="FangSong" w:eastAsia="楷体_GB2312" w:cs="FangSong"/>
          <w:b/>
          <w:bCs/>
          <w:sz w:val="32"/>
          <w:szCs w:val="32"/>
        </w:rPr>
      </w:pPr>
      <w:r>
        <w:rPr>
          <w:rFonts w:hint="eastAsia" w:ascii="楷体_GB2312" w:hAnsi="FangSong" w:eastAsia="楷体_GB2312" w:cs="FangSong"/>
          <w:b/>
          <w:bCs/>
          <w:sz w:val="32"/>
          <w:szCs w:val="32"/>
        </w:rPr>
        <w:t>四、材料报送和要求</w:t>
      </w:r>
    </w:p>
    <w:p>
      <w:pPr>
        <w:spacing w:line="360" w:lineRule="auto"/>
        <w:ind w:firstLine="645"/>
        <w:jc w:val="left"/>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凡符合条件的人员均可申报，用人单位负责初审和推荐。所有报送的纸质材料，须用人单位盖章，主要领导签字，提供的申报材料如下：</w:t>
      </w:r>
    </w:p>
    <w:p>
      <w:pPr>
        <w:spacing w:line="360" w:lineRule="auto"/>
        <w:ind w:firstLine="645"/>
        <w:jc w:val="left"/>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1.《申报表》（</w:t>
      </w:r>
      <w:r>
        <w:rPr>
          <w:rFonts w:hint="eastAsia" w:ascii="仿宋_GB2312" w:hAnsi="FangSong" w:eastAsia="仿宋_GB2312" w:cs="FangSong"/>
          <w:b/>
          <w:bCs/>
          <w:sz w:val="32"/>
          <w:szCs w:val="32"/>
        </w:rPr>
        <w:t>附件2</w:t>
      </w:r>
      <w:r>
        <w:rPr>
          <w:rFonts w:hint="eastAsia" w:ascii="仿宋_GB2312" w:hAnsi="FangSong" w:eastAsia="仿宋_GB2312" w:cs="FangSong"/>
          <w:sz w:val="32"/>
          <w:szCs w:val="32"/>
        </w:rPr>
        <w:t>）电子版及纸质版一式三份；</w:t>
      </w:r>
    </w:p>
    <w:p>
      <w:pPr>
        <w:spacing w:line="360" w:lineRule="auto"/>
        <w:ind w:firstLine="645"/>
        <w:jc w:val="left"/>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2.《申报表》填写内容涉及的有关证书、证明等复印件一册，有关材料截止时间为2021年12月31日。</w:t>
      </w:r>
    </w:p>
    <w:p>
      <w:pPr>
        <w:spacing w:line="360" w:lineRule="auto"/>
        <w:ind w:firstLine="645"/>
        <w:jc w:val="left"/>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3.推荐人选花名册（</w:t>
      </w:r>
      <w:r>
        <w:rPr>
          <w:rFonts w:hint="eastAsia" w:ascii="仿宋_GB2312" w:hAnsi="FangSong" w:eastAsia="仿宋_GB2312" w:cs="FangSong"/>
          <w:b/>
          <w:bCs/>
          <w:sz w:val="32"/>
          <w:szCs w:val="32"/>
        </w:rPr>
        <w:t>附件3</w:t>
      </w:r>
      <w:r>
        <w:rPr>
          <w:rFonts w:hint="eastAsia" w:ascii="仿宋_GB2312" w:hAnsi="FangSong" w:eastAsia="仿宋_GB2312" w:cs="FangSong"/>
          <w:sz w:val="32"/>
          <w:szCs w:val="32"/>
        </w:rPr>
        <w:t>）电子版及纸质版各一份。</w:t>
      </w:r>
    </w:p>
    <w:p>
      <w:pPr>
        <w:spacing w:line="360" w:lineRule="auto"/>
        <w:ind w:firstLine="645"/>
        <w:jc w:val="left"/>
        <w:outlineLvl w:val="0"/>
        <w:rPr>
          <w:rFonts w:hint="eastAsia" w:ascii="仿宋_GB2312" w:hAnsi="FangSong" w:eastAsia="仿宋_GB2312" w:cs="FangSong"/>
          <w:sz w:val="32"/>
          <w:szCs w:val="32"/>
        </w:rPr>
      </w:pPr>
      <w:r>
        <w:rPr>
          <w:rFonts w:hint="eastAsia" w:ascii="仿宋_GB2312" w:hAnsi="FangSong" w:eastAsia="仿宋_GB2312" w:cs="FangSong"/>
          <w:sz w:val="32"/>
          <w:szCs w:val="32"/>
        </w:rPr>
        <w:t>4.各单位须同时组织在线填报申报人员信息（https://www.wjx.top/vm/rCXUxDV.aspx#），按照申报人选分别填写，所填信息须与申报表和花名册相关信息一致，不可重复提交。</w:t>
      </w:r>
    </w:p>
    <w:p>
      <w:pPr>
        <w:spacing w:line="360" w:lineRule="auto"/>
        <w:ind w:firstLine="640" w:firstLineChars="200"/>
        <w:rPr>
          <w:rFonts w:hint="eastAsia" w:ascii="仿宋_GB2312" w:hAnsi="FangSong" w:eastAsia="仿宋_GB2312" w:cs="FangSong"/>
          <w:sz w:val="32"/>
          <w:szCs w:val="32"/>
        </w:rPr>
      </w:pPr>
      <w:r>
        <w:rPr>
          <w:rFonts w:hint="eastAsia" w:ascii="仿宋_GB2312" w:hAnsi="FangSong" w:eastAsia="仿宋_GB2312" w:cs="FangSong"/>
          <w:sz w:val="32"/>
          <w:szCs w:val="32"/>
        </w:rPr>
        <w:t>各单位须于</w:t>
      </w:r>
      <w:r>
        <w:rPr>
          <w:rFonts w:hint="eastAsia" w:ascii="仿宋_GB2312" w:hAnsi="FangSong" w:eastAsia="仿宋_GB2312" w:cs="FangSong"/>
          <w:b/>
          <w:bCs/>
          <w:sz w:val="32"/>
          <w:szCs w:val="32"/>
        </w:rPr>
        <w:t>2023年6月28日</w:t>
      </w:r>
      <w:r>
        <w:rPr>
          <w:rFonts w:hint="eastAsia" w:ascii="仿宋_GB2312" w:hAnsi="FangSong" w:eastAsia="仿宋_GB2312" w:cs="FangSong"/>
          <w:sz w:val="32"/>
          <w:szCs w:val="32"/>
        </w:rPr>
        <w:t>前将申报的纸质材料报送教师发展中心培训处，同时上报电子稿，逾期不予受理。联系人：尹立坤，电话：69995946，邮箱：113729357@qq.com。</w:t>
      </w:r>
    </w:p>
    <w:p>
      <w:pPr>
        <w:spacing w:line="360" w:lineRule="auto"/>
        <w:ind w:firstLine="640" w:firstLineChars="200"/>
        <w:rPr>
          <w:rFonts w:hint="eastAsia" w:ascii="仿宋_GB2312" w:hAnsi="FangSong" w:eastAsia="仿宋_GB2312" w:cs="FangSong"/>
          <w:sz w:val="32"/>
          <w:szCs w:val="32"/>
        </w:rPr>
      </w:pPr>
      <w:r>
        <w:rPr>
          <w:rFonts w:hint="eastAsia" w:ascii="仿宋_GB2312" w:hAnsi="FangSong" w:eastAsia="仿宋_GB2312" w:cs="FangSong"/>
          <w:sz w:val="32"/>
          <w:szCs w:val="32"/>
        </w:rPr>
        <w:t>特此通知。</w:t>
      </w:r>
    </w:p>
    <w:p>
      <w:pPr>
        <w:pStyle w:val="7"/>
        <w:spacing w:line="360" w:lineRule="auto"/>
        <w:ind w:firstLine="0" w:firstLineChars="0"/>
        <w:rPr>
          <w:rFonts w:hint="eastAsia" w:ascii="仿宋_GB2312" w:eastAsia="仿宋_GB2312" w:cs="FangSong"/>
        </w:rPr>
      </w:pPr>
    </w:p>
    <w:p>
      <w:pPr>
        <w:pStyle w:val="7"/>
        <w:spacing w:line="360" w:lineRule="auto"/>
        <w:ind w:firstLine="0" w:firstLineChars="0"/>
        <w:rPr>
          <w:rFonts w:hint="default" w:ascii="仿宋_GB2312" w:eastAsia="仿宋_GB2312" w:cs="FangSong"/>
        </w:rPr>
      </w:pPr>
      <w:r>
        <w:rPr>
          <w:rFonts w:hint="eastAsia" w:ascii="仿宋_GB2312" w:eastAsia="仿宋_GB2312" w:cs="FangSong"/>
        </w:rPr>
        <w:t>附件：1.</w:t>
      </w:r>
      <w:r>
        <w:rPr>
          <w:rFonts w:hint="default" w:ascii="仿宋_GB2312" w:eastAsia="仿宋_GB2312" w:cs="FangSong"/>
        </w:rPr>
        <w:t>园区党政办公室关于印发《苏州工业园区教育人才支持计划实施细则》的通知</w:t>
      </w:r>
    </w:p>
    <w:p>
      <w:pPr>
        <w:pStyle w:val="7"/>
        <w:spacing w:line="360" w:lineRule="auto"/>
        <w:ind w:firstLine="0" w:firstLineChars="0"/>
        <w:rPr>
          <w:rFonts w:hint="eastAsia" w:ascii="仿宋_GB2312" w:eastAsia="仿宋_GB2312" w:cs="FangSong"/>
        </w:rPr>
      </w:pPr>
      <w:r>
        <w:rPr>
          <w:rFonts w:hint="default" w:ascii="仿宋_GB2312" w:eastAsia="仿宋_GB2312" w:cs="FangSong"/>
        </w:rPr>
        <w:t xml:space="preserve">      </w:t>
      </w:r>
      <w:r>
        <w:rPr>
          <w:rFonts w:hint="eastAsia" w:ascii="仿宋_GB2312" w:hAnsi="FangSong" w:eastAsia="仿宋_GB2312" w:cs="FangSong"/>
          <w:kern w:val="2"/>
          <w:sz w:val="32"/>
          <w:szCs w:val="32"/>
          <w:lang w:val="en-US" w:eastAsia="zh-CN" w:bidi="ar-SA"/>
        </w:rPr>
        <w:t>2.苏州工业园区教育特聘人才</w:t>
      </w:r>
      <w:r>
        <w:rPr>
          <w:rFonts w:hint="default" w:ascii="仿宋_GB2312" w:eastAsia="仿宋_GB2312" w:cs="FangSong"/>
          <w:kern w:val="2"/>
          <w:sz w:val="32"/>
          <w:szCs w:val="32"/>
          <w:lang w:eastAsia="zh-CN" w:bidi="ar-SA"/>
        </w:rPr>
        <w:t>申</w:t>
      </w:r>
      <w:r>
        <w:rPr>
          <w:rFonts w:hint="eastAsia" w:ascii="仿宋_GB2312" w:eastAsia="仿宋_GB2312" w:cs="FangSong"/>
        </w:rPr>
        <w:t>报表</w:t>
      </w:r>
    </w:p>
    <w:p>
      <w:pPr>
        <w:pStyle w:val="7"/>
        <w:spacing w:line="360" w:lineRule="auto"/>
        <w:ind w:firstLine="960" w:firstLineChars="300"/>
        <w:rPr>
          <w:rFonts w:ascii="仿宋_GB2312" w:eastAsia="仿宋_GB2312" w:cs="FangSong"/>
        </w:rPr>
      </w:pPr>
      <w:r>
        <w:rPr>
          <w:rFonts w:hint="eastAsia" w:ascii="仿宋_GB2312" w:eastAsia="仿宋_GB2312" w:cs="FangSong"/>
        </w:rPr>
        <w:t>3.</w:t>
      </w:r>
      <w:r>
        <w:rPr>
          <w:rFonts w:hint="default" w:ascii="仿宋_GB2312" w:eastAsia="仿宋_GB2312" w:cs="FangSong"/>
        </w:rPr>
        <w:t>2020、2021苏州工业园区教育特聘人才推荐人选花名</w:t>
      </w:r>
      <w:r>
        <w:rPr>
          <w:rFonts w:hint="eastAsia" w:ascii="仿宋_GB2312" w:eastAsia="仿宋_GB2312" w:cs="FangSong"/>
        </w:rPr>
        <w:t>册</w:t>
      </w:r>
    </w:p>
    <w:p>
      <w:pPr>
        <w:pStyle w:val="7"/>
        <w:spacing w:line="360" w:lineRule="auto"/>
        <w:ind w:firstLine="960" w:firstLineChars="300"/>
        <w:rPr>
          <w:rFonts w:hint="eastAsia" w:ascii="仿宋_GB2312" w:eastAsia="仿宋_GB2312" w:cs="FangSong"/>
        </w:rPr>
      </w:pPr>
    </w:p>
    <w:p>
      <w:pPr>
        <w:pStyle w:val="7"/>
        <w:spacing w:line="360" w:lineRule="auto"/>
        <w:ind w:firstLine="0" w:firstLineChars="0"/>
        <w:jc w:val="right"/>
        <w:rPr>
          <w:rFonts w:ascii="仿宋_GB2312" w:eastAsia="仿宋_GB2312" w:cs="FangSong"/>
        </w:rPr>
      </w:pPr>
      <w:r>
        <w:rPr>
          <w:rFonts w:hint="eastAsia" w:ascii="仿宋_GB2312" w:eastAsia="仿宋_GB2312" w:cs="FangSong"/>
        </w:rPr>
        <w:t>苏州工业园区教育局</w:t>
      </w:r>
    </w:p>
    <w:p>
      <w:pPr>
        <w:pStyle w:val="7"/>
        <w:spacing w:line="360" w:lineRule="auto"/>
        <w:ind w:firstLine="0" w:firstLineChars="0"/>
        <w:jc w:val="right"/>
        <w:rPr>
          <w:rFonts w:hint="eastAsia" w:ascii="仿宋_GB2312" w:eastAsia="仿宋_GB2312" w:cs="FangSong"/>
        </w:rPr>
      </w:pPr>
      <w:r>
        <w:rPr>
          <w:rFonts w:hint="eastAsia" w:ascii="仿宋_GB2312" w:eastAsia="仿宋_GB2312" w:cs="FangSong"/>
        </w:rPr>
        <w:t>2023年</w:t>
      </w:r>
      <w:r>
        <w:rPr>
          <w:rFonts w:ascii="仿宋_GB2312" w:eastAsia="仿宋_GB2312" w:cs="FangSong"/>
        </w:rPr>
        <w:t>6</w:t>
      </w:r>
      <w:r>
        <w:rPr>
          <w:rFonts w:hint="eastAsia" w:ascii="仿宋_GB2312" w:eastAsia="仿宋_GB2312" w:cs="FangSong"/>
        </w:rPr>
        <w:t>月</w:t>
      </w:r>
      <w:r>
        <w:rPr>
          <w:rFonts w:ascii="仿宋_GB2312" w:eastAsia="仿宋_GB2312" w:cs="FangSong"/>
        </w:rPr>
        <w:t>3</w:t>
      </w:r>
      <w:r>
        <w:rPr>
          <w:rFonts w:hint="eastAsia" w:ascii="仿宋_GB2312" w:eastAsia="仿宋_GB2312" w:cs="FangSong"/>
        </w:rPr>
        <w:t>日</w:t>
      </w:r>
    </w:p>
    <w:p>
      <w:pPr>
        <w:pStyle w:val="7"/>
        <w:spacing w:line="360" w:lineRule="auto"/>
        <w:ind w:firstLine="960" w:firstLineChars="300"/>
        <w:rPr>
          <w:rFonts w:ascii="仿宋_GB2312" w:eastAsia="仿宋_GB2312" w:cs="FangSong"/>
          <w:szCs w:val="24"/>
        </w:rPr>
      </w:pPr>
    </w:p>
    <w:p>
      <w:pPr>
        <w:spacing w:line="580" w:lineRule="exact"/>
        <w:ind w:right="-52"/>
        <w:jc w:val="center"/>
        <w:rPr>
          <w:rFonts w:ascii="仿宋_GB2312" w:eastAsia="仿宋_GB2312"/>
          <w:sz w:val="32"/>
          <w:szCs w:val="32"/>
        </w:rPr>
      </w:pPr>
    </w:p>
    <w:p>
      <w:pPr>
        <w:spacing w:line="580" w:lineRule="exact"/>
        <w:ind w:right="23" w:rightChars="11"/>
        <w:jc w:val="left"/>
        <w:rPr>
          <w:rFonts w:ascii="仿宋_GB2312" w:hAnsi="仿宋" w:eastAsia="仿宋_GB2312"/>
          <w:sz w:val="32"/>
          <w:szCs w:val="32"/>
        </w:rPr>
      </w:pPr>
    </w:p>
    <w:p>
      <w:pPr>
        <w:spacing w:line="580" w:lineRule="exact"/>
        <w:ind w:right="23" w:rightChars="11"/>
        <w:jc w:val="left"/>
        <w:rPr>
          <w:rFonts w:hint="eastAsia"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p>
      <w:pPr>
        <w:spacing w:line="580" w:lineRule="exact"/>
        <w:ind w:right="23" w:rightChars="11"/>
        <w:jc w:val="left"/>
        <w:rPr>
          <w:rFonts w:eastAsia="仿宋_GB2312"/>
          <w:sz w:val="32"/>
          <w:szCs w:val="32"/>
        </w:rPr>
      </w:pPr>
    </w:p>
    <w:tbl>
      <w:tblPr>
        <w:tblStyle w:val="4"/>
        <w:tblW w:w="0" w:type="auto"/>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c>
          <w:tcPr>
            <w:tcW w:w="8577" w:type="dxa"/>
            <w:tcBorders>
              <w:top w:val="single" w:color="auto" w:sz="8" w:space="0"/>
              <w:bottom w:val="single" w:color="auto" w:sz="8" w:space="0"/>
            </w:tcBorders>
            <w:shd w:val="clear" w:color="auto" w:fill="auto"/>
          </w:tcPr>
          <w:p>
            <w:pPr>
              <w:spacing w:line="400" w:lineRule="exact"/>
              <w:ind w:right="277"/>
              <w:rPr>
                <w:rFonts w:eastAsia="仿宋_GB2312"/>
                <w:sz w:val="32"/>
              </w:rPr>
            </w:pPr>
            <w:bookmarkStart w:id="3" w:name="发文单位"/>
            <w:r>
              <w:rPr>
                <w:rFonts w:hint="eastAsia" w:eastAsia="仿宋_GB2312"/>
                <w:sz w:val="32"/>
                <w:szCs w:val="32"/>
              </w:rPr>
              <w:t>苏州工业园区教育局</w:t>
            </w:r>
            <w:bookmarkEnd w:id="3"/>
            <w:r>
              <w:rPr>
                <w:rFonts w:hint="eastAsia" w:eastAsia="仿宋_GB2312"/>
                <w:sz w:val="32"/>
                <w:szCs w:val="32"/>
              </w:rPr>
              <w:t xml:space="preserve">          </w:t>
            </w:r>
            <w:bookmarkStart w:id="4" w:name="发文日期"/>
            <w:r>
              <w:rPr>
                <w:rFonts w:eastAsia="仿宋_GB2312"/>
                <w:sz w:val="32"/>
                <w:szCs w:val="32"/>
              </w:rPr>
              <w:t xml:space="preserve">  </w:t>
            </w:r>
            <w:bookmarkEnd w:id="4"/>
            <w:r>
              <w:rPr>
                <w:rFonts w:hint="eastAsia" w:ascii="仿宋" w:hAnsi="仿宋" w:eastAsia="仿宋" w:cs="仿宋"/>
                <w:sz w:val="32"/>
                <w:szCs w:val="32"/>
              </w:rPr>
              <w:t>2023</w:t>
            </w:r>
            <w:r>
              <w:rPr>
                <w:rFonts w:hint="eastAsia" w:ascii="仿宋" w:hAnsi="仿宋" w:eastAsia="仿宋"/>
                <w:sz w:val="32"/>
                <w:szCs w:val="32"/>
              </w:rPr>
              <w:t>年</w:t>
            </w:r>
            <w:r>
              <w:rPr>
                <w:rFonts w:ascii="仿宋" w:hAnsi="仿宋" w:eastAsia="仿宋"/>
                <w:sz w:val="32"/>
                <w:szCs w:val="32"/>
              </w:rPr>
              <w:t>6</w:t>
            </w:r>
            <w:r>
              <w:rPr>
                <w:rFonts w:hint="eastAsia" w:ascii="仿宋" w:hAnsi="仿宋" w:eastAsia="仿宋"/>
                <w:sz w:val="32"/>
                <w:szCs w:val="32"/>
              </w:rPr>
              <w:t>月3日</w:t>
            </w:r>
            <w:r>
              <w:rPr>
                <w:rFonts w:eastAsia="仿宋_GB2312"/>
                <w:sz w:val="32"/>
                <w:szCs w:val="32"/>
              </w:rPr>
              <w:t>印</w:t>
            </w:r>
            <w:r>
              <w:rPr>
                <w:rFonts w:hint="eastAsia" w:eastAsia="仿宋_GB2312"/>
                <w:sz w:val="32"/>
                <w:szCs w:val="32"/>
              </w:rPr>
              <w:t>发</w:t>
            </w:r>
          </w:p>
        </w:tc>
      </w:tr>
    </w:tbl>
    <w:p/>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FangSong">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姚体">
    <w:altName w:val="汉仪书宋二KW"/>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MjA4MWYyMDFhODQ0ZTc4YTBjMjBkNjljZDA5MmQifQ=="/>
  </w:docVars>
  <w:rsids>
    <w:rsidRoot w:val="00000000"/>
    <w:rsid w:val="1D231EAF"/>
    <w:rsid w:val="7FFABF8E"/>
    <w:rsid w:val="B7EFF947"/>
    <w:rsid w:val="DDF5105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qFormat/>
    <w:uiPriority w:val="0"/>
  </w:style>
  <w:style w:type="paragraph" w:customStyle="1" w:styleId="7">
    <w:name w:val="公文正文"/>
    <w:qFormat/>
    <w:uiPriority w:val="0"/>
    <w:pPr>
      <w:widowControl w:val="0"/>
      <w:ind w:firstLine="640" w:firstLineChars="200"/>
      <w:jc w:val="both"/>
    </w:pPr>
    <w:rPr>
      <w:rFonts w:ascii="FangSong" w:hAnsi="FangSong" w:eastAsia="FangSong" w:cstheme="minorBidi"/>
      <w:kern w:val="2"/>
      <w:sz w:val="32"/>
      <w:szCs w:val="32"/>
      <w:lang w:val="en-US" w:eastAsia="zh-CN" w:bidi="ar-SA"/>
    </w:rPr>
  </w:style>
  <w:style w:type="paragraph" w:customStyle="1" w:styleId="8">
    <w:name w:val="公文二级目录"/>
    <w:qFormat/>
    <w:uiPriority w:val="0"/>
    <w:pPr>
      <w:widowControl w:val="0"/>
      <w:ind w:firstLine="640" w:firstLineChars="200"/>
      <w:jc w:val="both"/>
    </w:pPr>
    <w:rPr>
      <w:rFonts w:ascii="楷体_GB2312" w:hAnsi="FangSong" w:eastAsia="楷体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0</TotalTime>
  <ScaleCrop>false</ScaleCrop>
  <LinksUpToDate>false</LinksUpToDate>
  <CharactersWithSpaces>0</CharactersWithSpaces>
  <Application>WPS Office WWO_wpscloud_20220918143219-1a27aeaaab</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2023-03-30T02:44:00Z</dcterms:created>
  <dc:creator>13176</dc:creator>
  <cp:lastModifiedBy>root</cp:lastModifiedBy>
  <dcterms:modified xsi:type="dcterms:W3CDTF">2023-06-06T19:06:33Z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9FBD5710931A4E879787C2EF9B67211D</vt:lpwstr>
  </property>
</Properties>
</file>