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60" w:lineRule="exact"/>
        <w:ind w:left="546" w:leftChars="260" w:right="544" w:rightChars="259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FF0000"/>
          <w:w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80"/>
          <w:sz w:val="96"/>
          <w:szCs w:val="96"/>
        </w:rPr>
        <w:t>苏州市教育局</w:t>
      </w:r>
    </w:p>
    <w:p>
      <w:pPr>
        <w:spacing w:line="460" w:lineRule="exact"/>
        <w:jc w:val="center"/>
        <w:rPr>
          <w:rFonts w:ascii="Times New Roman"/>
          <w:sz w:val="32"/>
          <w:szCs w:val="32"/>
        </w:rPr>
      </w:pPr>
    </w:p>
    <w:p>
      <w:pPr>
        <w:spacing w:line="570" w:lineRule="exact"/>
        <w:jc w:val="center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苏教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德育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〔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〕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黑体" w:eastAsia="黑体"/>
          <w:color w:val="FF0000"/>
          <w:sz w:val="52"/>
          <w:szCs w:val="5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148590</wp:posOffset>
                </wp:positionV>
                <wp:extent cx="5615940" cy="635"/>
                <wp:effectExtent l="0" t="19050" r="7620" b="26035"/>
                <wp:wrapNone/>
                <wp:docPr id="1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0.55pt;margin-top:11.7pt;height:0.05pt;width:442.2pt;z-index:251659264;mso-width-relative:page;mso-height-relative:page;" filled="f" stroked="t" coordsize="21600,21600" o:gfxdata="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Uv7Y1wAAAAcBAAAPAAAAAAAAAAEAIAAA&#10;ACIAAABkcnMvZG93bnJldi54bWxQSwECFAAUAAAACACHTuJAxwhHctQBAACxAwAADgAAAAAAAAAB&#10;ACAAAAAmAQAAZHJzL2Uyb0RvYy54bWxQSwUGAAAAAAYABgBZAQAAb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"/>
        <w:bidi w:val="0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关于开展苏州市中小学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幼儿园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优秀</w:t>
      </w:r>
      <w:r>
        <w:rPr>
          <w:rFonts w:hint="eastAsia" w:ascii="方正小标宋_GBK" w:hAnsi="仿宋" w:eastAsia="方正小标宋_GBK"/>
          <w:sz w:val="44"/>
          <w:szCs w:val="44"/>
        </w:rPr>
        <w:t>家长学校</w:t>
      </w:r>
    </w:p>
    <w:p>
      <w:pPr>
        <w:pStyle w:val="11"/>
        <w:bidi w:val="0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评选工作</w:t>
      </w:r>
      <w:r>
        <w:rPr>
          <w:rFonts w:hint="eastAsia" w:ascii="方正小标宋_GBK" w:hAnsi="仿宋" w:eastAsia="方正小标宋_GBK"/>
          <w:sz w:val="44"/>
          <w:szCs w:val="44"/>
        </w:rPr>
        <w:t>的通知</w:t>
      </w:r>
    </w:p>
    <w:p>
      <w:pPr>
        <w:pStyle w:val="3"/>
        <w:bidi w:val="0"/>
        <w:rPr>
          <w:rFonts w:hint="eastAsia"/>
          <w:lang w:eastAsia="zh-CN"/>
        </w:rPr>
      </w:pPr>
      <w:bookmarkStart w:id="0" w:name="_Hlk1663353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县级市（区）</w:t>
      </w:r>
      <w:r>
        <w:rPr>
          <w:rFonts w:hint="eastAsia" w:ascii="仿宋" w:hAnsi="仿宋" w:eastAsia="仿宋"/>
          <w:sz w:val="32"/>
          <w:szCs w:val="32"/>
        </w:rPr>
        <w:t>教育局（教体文旅委）、各直属（代管）学校：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</w:t>
      </w:r>
      <w:r>
        <w:rPr>
          <w:rFonts w:hint="eastAsia" w:ascii="仿宋" w:hAnsi="仿宋" w:eastAsia="仿宋"/>
          <w:sz w:val="32"/>
          <w:szCs w:val="32"/>
          <w:lang w:eastAsia="zh-CN"/>
        </w:rPr>
        <w:t>落实</w:t>
      </w:r>
      <w:r>
        <w:rPr>
          <w:rFonts w:hint="eastAsia" w:ascii="仿宋" w:hAnsi="仿宋" w:eastAsia="仿宋"/>
          <w:sz w:val="32"/>
          <w:szCs w:val="32"/>
        </w:rPr>
        <w:t>《中华人民共和国家庭教育促进法》《江苏省家庭教育促进条例》，进一步提升新时代中小学家长学校工作水平，引导学校充分发挥协同育人主导作用，营造良好的育人氛围，促进学生健康全面成长，根据《教育部等十三部门关于健全学校家庭社会协同育人机制的意见》（教基〔2022〕7号）、《江苏省中小学幼儿园家长学校工作指导意见》（苏教基函〔2022〕18号）、《苏州市家庭教育工作“十四五”规划》（苏妇字〔2022〕15号）</w:t>
      </w:r>
      <w:r>
        <w:rPr>
          <w:rFonts w:hint="eastAsia" w:ascii="仿宋" w:hAnsi="仿宋" w:eastAsia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，决定开展苏州市中小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学校优秀家长学校评选活动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有关</w:t>
      </w:r>
      <w:r>
        <w:rPr>
          <w:rFonts w:hint="eastAsia" w:ascii="仿宋" w:hAnsi="仿宋" w:eastAsia="仿宋"/>
          <w:sz w:val="32"/>
          <w:szCs w:val="32"/>
          <w:lang w:eastAsia="zh-CN"/>
        </w:rPr>
        <w:t>事项通知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一、评选</w:t>
      </w:r>
      <w:r>
        <w:rPr>
          <w:rFonts w:hint="eastAsia" w:ascii="黑体" w:hAnsi="黑体" w:eastAsia="黑体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全市中小学幼儿园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申报</w:t>
      </w:r>
      <w:r>
        <w:rPr>
          <w:rFonts w:hint="eastAsia"/>
        </w:rPr>
        <w:t>条件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  <w:r>
        <w:rPr>
          <w:rFonts w:hint="eastAsia"/>
        </w:rPr>
        <w:t>《苏州市中小学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家长学校评分表》（见附件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）总分达90分以上，且组织建设、师资队伍、教学指导、特色成果四项指标得分率均在</w:t>
      </w:r>
      <w:r>
        <w:rPr>
          <w:rFonts w:hint="eastAsia"/>
          <w:lang w:val="en-US" w:eastAsia="zh-CN"/>
        </w:rPr>
        <w:t>90</w:t>
      </w:r>
      <w:r>
        <w:rPr>
          <w:rFonts w:hint="eastAsia"/>
        </w:rPr>
        <w:t>%以上。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评选</w:t>
      </w:r>
      <w:r>
        <w:rPr>
          <w:rFonts w:hint="eastAsia"/>
        </w:rPr>
        <w:t>程序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1．学校自评</w:t>
      </w:r>
      <w:r>
        <w:rPr>
          <w:rFonts w:hint="eastAsia"/>
          <w:lang w:eastAsia="zh-CN"/>
        </w:rPr>
        <w:t>申报</w:t>
      </w:r>
      <w:r>
        <w:rPr>
          <w:rFonts w:hint="eastAsia"/>
        </w:rPr>
        <w:t>。学校根据《苏州市中小学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家长学校评分表》进行自评，符合</w:t>
      </w:r>
      <w:r>
        <w:rPr>
          <w:rFonts w:hint="eastAsia"/>
          <w:lang w:eastAsia="zh-CN"/>
        </w:rPr>
        <w:t>条件</w:t>
      </w:r>
      <w:r>
        <w:rPr>
          <w:rFonts w:hint="eastAsia"/>
        </w:rPr>
        <w:t>的</w:t>
      </w:r>
      <w:r>
        <w:rPr>
          <w:rFonts w:hint="eastAsia"/>
          <w:lang w:eastAsia="zh-CN"/>
        </w:rPr>
        <w:t>于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日前</w:t>
      </w:r>
      <w:r>
        <w:rPr>
          <w:rFonts w:hint="eastAsia"/>
          <w:lang w:eastAsia="zh-CN"/>
        </w:rPr>
        <w:t>向当地</w:t>
      </w:r>
      <w:r>
        <w:rPr>
          <w:rFonts w:hint="eastAsia"/>
        </w:rPr>
        <w:t>教育主管部门报送</w:t>
      </w:r>
      <w:r>
        <w:rPr>
          <w:rFonts w:hint="eastAsia"/>
          <w:lang w:val="en-US" w:eastAsia="zh-CN"/>
        </w:rPr>
        <w:t>以下</w:t>
      </w:r>
      <w:r>
        <w:rPr>
          <w:rFonts w:hint="eastAsia"/>
        </w:rPr>
        <w:t>材料：（1）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00字以内学校家长学校工作</w:t>
      </w:r>
      <w:r>
        <w:rPr>
          <w:rFonts w:hint="eastAsia"/>
          <w:lang w:eastAsia="zh-CN"/>
        </w:rPr>
        <w:t>总结</w:t>
      </w:r>
      <w:r>
        <w:rPr>
          <w:rFonts w:hint="eastAsia"/>
        </w:rPr>
        <w:t>；（2）《苏州市中小学校家长学校评分表》；（3）相关佐证材料。</w:t>
      </w:r>
      <w:r>
        <w:rPr>
          <w:rFonts w:hint="eastAsia"/>
          <w:lang w:val="en-US" w:eastAsia="zh-CN"/>
        </w:rPr>
        <w:t>市直属学校直接报送市教育局德育处。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2．</w:t>
      </w:r>
      <w:r>
        <w:rPr>
          <w:rFonts w:hint="eastAsia"/>
          <w:lang w:val="en-US" w:eastAsia="zh-CN"/>
        </w:rPr>
        <w:t>县级市（区）初评</w:t>
      </w:r>
      <w:r>
        <w:rPr>
          <w:rFonts w:hint="eastAsia"/>
        </w:rPr>
        <w:t>。各县级市（区）教育行政部门</w:t>
      </w:r>
      <w:r>
        <w:rPr>
          <w:rFonts w:hint="eastAsia"/>
          <w:lang w:val="en-US" w:eastAsia="zh-CN"/>
        </w:rPr>
        <w:t>对申报学校进行</w:t>
      </w:r>
      <w:r>
        <w:rPr>
          <w:rFonts w:hint="eastAsia"/>
        </w:rPr>
        <w:t>复核，</w:t>
      </w:r>
      <w:r>
        <w:rPr>
          <w:rFonts w:hint="eastAsia"/>
          <w:lang w:val="en-US" w:eastAsia="zh-CN"/>
        </w:rPr>
        <w:t>择优推荐不超过5所中小学家长学校，于7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日前报送</w:t>
      </w:r>
      <w:r>
        <w:rPr>
          <w:rFonts w:hint="eastAsia"/>
          <w:lang w:val="en-US" w:eastAsia="zh-CN"/>
        </w:rPr>
        <w:t>汇总</w:t>
      </w:r>
      <w:r>
        <w:rPr>
          <w:rFonts w:hint="eastAsia"/>
        </w:rPr>
        <w:t>名单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见附件2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及</w:t>
      </w:r>
      <w:r>
        <w:rPr>
          <w:rFonts w:hint="eastAsia"/>
          <w:lang w:val="en-US" w:eastAsia="zh-CN"/>
        </w:rPr>
        <w:t>推荐学校</w:t>
      </w:r>
      <w:r>
        <w:rPr>
          <w:rFonts w:hint="eastAsia"/>
        </w:rPr>
        <w:t>自评报告和打分表</w:t>
      </w:r>
      <w:r>
        <w:rPr>
          <w:rFonts w:hint="eastAsia"/>
          <w:lang w:eastAsia="zh-CN"/>
        </w:rPr>
        <w:t>到</w:t>
      </w:r>
      <w:r>
        <w:rPr>
          <w:rFonts w:hint="eastAsia"/>
          <w:lang w:val="en-US" w:eastAsia="zh-CN"/>
        </w:rPr>
        <w:t>邮箱：szjtjyzdzx</w:t>
      </w:r>
      <w:r>
        <w:rPr>
          <w:rFonts w:hint="eastAsia"/>
        </w:rPr>
        <w:t>@163.com</w:t>
      </w:r>
      <w:r>
        <w:rPr>
          <w:rFonts w:hint="eastAsia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  <w:r>
        <w:rPr>
          <w:rFonts w:hint="eastAsia"/>
        </w:rPr>
        <w:t>3．</w:t>
      </w:r>
      <w:r>
        <w:rPr>
          <w:rFonts w:hint="eastAsia"/>
          <w:lang w:val="en-US" w:eastAsia="zh-CN"/>
        </w:rPr>
        <w:t>市级评选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苏州市教育局将于秋季开学后组织专家分区域进行复评工作</w:t>
      </w:r>
      <w:r>
        <w:rPr>
          <w:rFonts w:hint="eastAsia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联系人：李卓尔，联系电话：65227743。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：1.</w:t>
      </w:r>
      <w:r>
        <w:rPr>
          <w:rFonts w:hint="eastAsia"/>
        </w:rPr>
        <w:t>苏州市中小学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家长学校评分表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1600" w:firstLineChars="5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2.苏州市</w:t>
      </w:r>
      <w:r>
        <w:rPr>
          <w:rFonts w:hint="eastAsia"/>
        </w:rPr>
        <w:t>中小学校</w:t>
      </w:r>
      <w:r>
        <w:rPr>
          <w:rFonts w:hint="eastAsia"/>
          <w:lang w:val="en-US" w:eastAsia="zh-CN"/>
        </w:rPr>
        <w:t>优秀</w:t>
      </w:r>
      <w:r>
        <w:rPr>
          <w:rFonts w:hint="eastAsia"/>
        </w:rPr>
        <w:t>家长学校</w:t>
      </w:r>
      <w:r>
        <w:rPr>
          <w:rFonts w:hint="eastAsia"/>
          <w:lang w:val="en-US" w:eastAsia="zh-CN"/>
        </w:rPr>
        <w:t>推荐汇总表</w:t>
      </w: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2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苏州市教育局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ascii="仿宋" w:hAnsi="仿宋" w:eastAsia="仿宋"/>
          <w:sz w:val="32"/>
          <w:szCs w:val="32"/>
        </w:rPr>
        <w:t>（此件公开发布）</w:t>
      </w:r>
    </w:p>
    <w:p>
      <w:pPr>
        <w:spacing w:line="560" w:lineRule="exact"/>
        <w:rPr>
          <w:rFonts w:hint="eastAsia" w:ascii="黑体" w:hAnsi="方正仿宋简体" w:eastAsia="黑体" w:cs="方正仿宋简体"/>
          <w:sz w:val="32"/>
          <w:szCs w:val="32"/>
        </w:rPr>
      </w:pPr>
      <w:r>
        <w:rPr>
          <w:rFonts w:hint="eastAsia" w:ascii="黑体" w:hAnsi="方正仿宋简体" w:eastAsia="黑体" w:cs="方正仿宋简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</w:rPr>
        <w:t>苏州市中小学校家长学校评分表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学校盖章：</w:t>
      </w:r>
    </w:p>
    <w:tbl>
      <w:tblPr>
        <w:tblStyle w:val="6"/>
        <w:tblW w:w="8975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581"/>
        <w:gridCol w:w="360"/>
        <w:gridCol w:w="2943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4581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 体 内  容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自评分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情况自述（每个空格不得超过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组织建设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由校领导担任家长学校校长，学校德育工作负责人、负责具体事务的教师、班主任和家长委员会代表共同组成的校务管理委员会，负责家长学校日常管理事务（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分）。每学期至少召开1次校务管理委员会会议，有会议记录（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int="eastAsia" w:hAnsi="Calibri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家长学校工作列入学校工作计划（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有各项管理制度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有专项计划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，有总结（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分），档案齐全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家长学校有挂牌标识、有办公场地、有家长服务中心（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分），有办学经费（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建立学校-年级-班级三级家长委员会网络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分）。家委会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定期召开会议，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积极参与学校家庭教育指导工作，宣传科学家庭教育理念、知识和方法（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restart"/>
            <w:vAlign w:val="top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师资队伍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有相对稳定的家庭教育指导师队伍，其中持有苏州市中小学家庭教育指导师资格证书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，1证1分，满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分为止（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邀请优秀家长、有专业特长的社会人士、“五老”等组成家庭教育志愿者或兼职队伍，开展家庭教育指导活动，1人1分，满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分为止（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int="eastAsia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将家庭教育指导专题培训纳入师资培训内容，每学期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至少一次全员专题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培训，切实加强教师家庭教育指导能力建设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1次1分，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分为止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每学期派出骨干参与区级以上专题培训，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1个专题1分，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分为止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在职教师在家长学校的工作计入工作量，作为考核评优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的重要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教学指导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int="eastAsia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学校有符合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校实际和家长实情的家庭教育指导系列课程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相配套的读本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以及音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视频等课程资源（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灵活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用好省、市、区家庭教育指导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的相关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资源和课程（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教学做到“四有”：有目标、计划、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读本、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简案（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分）；“四定”：定时间、地点、师资、内容（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分）；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多样化、能根据实际情况灵活安排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int="eastAsia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家长学校每学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年至少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次公益性家庭教育指导和实践活动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,1次1分，满4分为止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分），学员有签到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有反馈（1分），有微信等相关报道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落实家访制度，每学年对每名学生至少开展1次家访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并有相关记录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分）；对特殊家庭学生提供针对性帮扶（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int="eastAsia" w:hAnsi="Calibri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家长或监护人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参与家长学校学习及活动比率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不低于85%（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int="default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14.有评选、有表彰优秀家长的相关制度或活动（4分）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特色成果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年，有家庭教育工作相关的研究课题结题，或有公开交流、发表或出版的家庭教育工作研究成果（著作、论文等），1项1分，满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分为止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vAlign w:val="center"/>
          </w:tcPr>
          <w:p>
            <w:pPr>
              <w:jc w:val="left"/>
              <w:rPr>
                <w:rFonts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家长学校的典型经验和特色曾在县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级市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（区）以上进行展示或交流，或获得县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级市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（区）以上表彰，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或获得县级市（区）以上媒体宣传报道，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发挥示范引领作用，县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级市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（区）级一次1分，市级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以上1次2分，满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分为止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hAnsi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spacing w:line="560" w:lineRule="exact"/>
        <w:rPr>
          <w:rFonts w:hint="eastAsia" w:ascii="黑体" w:hAnsi="方正仿宋简体" w:eastAsia="黑体" w:cs="方正仿宋简体"/>
          <w:sz w:val="32"/>
          <w:szCs w:val="32"/>
          <w:lang w:val="en-US" w:eastAsia="zh-CN"/>
        </w:rPr>
      </w:pPr>
      <w:r>
        <w:rPr>
          <w:rFonts w:hint="eastAsia" w:ascii="黑体" w:hAnsi="方正仿宋简体" w:eastAsia="黑体" w:cs="方正仿宋简体"/>
          <w:sz w:val="32"/>
          <w:szCs w:val="32"/>
        </w:rPr>
        <w:t>附件</w:t>
      </w:r>
      <w:r>
        <w:rPr>
          <w:rFonts w:hint="eastAsia" w:ascii="黑体" w:hAnsi="方正仿宋简体" w:eastAsia="黑体" w:cs="方正仿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  <w:lang w:val="en-US" w:eastAsia="zh-CN"/>
        </w:rPr>
        <w:t>苏州市</w:t>
      </w:r>
      <w:r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</w:rPr>
        <w:t>中小学校</w:t>
      </w:r>
      <w:r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</w:rPr>
        <w:t>家长学校</w:t>
      </w:r>
      <w:r>
        <w:rPr>
          <w:rFonts w:hint="eastAsia" w:ascii="方正小标宋简体" w:hAnsi="方正仿宋简体" w:eastAsia="方正小标宋简体" w:cs="方正仿宋简体"/>
          <w:b/>
          <w:bCs/>
          <w:sz w:val="44"/>
          <w:szCs w:val="44"/>
          <w:lang w:val="en-US" w:eastAsia="zh-CN"/>
        </w:rPr>
        <w:t>推荐汇总表</w:t>
      </w:r>
    </w:p>
    <w:p>
      <w:pPr>
        <w:spacing w:line="600" w:lineRule="exact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825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361"/>
        <w:gridCol w:w="168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61" w:type="dxa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680" w:type="dxa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自评得分</w:t>
            </w:r>
          </w:p>
        </w:tc>
        <w:tc>
          <w:tcPr>
            <w:tcW w:w="1594" w:type="dxa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spacing w:line="600" w:lineRule="exact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  <w:bookmarkStart w:id="1" w:name="_GoBack"/>
      <w:bookmarkEnd w:id="1"/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tbl>
      <w:tblPr>
        <w:tblStyle w:val="5"/>
        <w:tblpPr w:leftFromText="180" w:rightFromText="180" w:vertAnchor="text" w:horzAnchor="page" w:tblpX="1665" w:tblpY="545"/>
        <w:tblOverlap w:val="never"/>
        <w:tblW w:w="5000" w:type="pct"/>
        <w:tblInd w:w="0" w:type="dxa"/>
        <w:tblBorders>
          <w:top w:val="single" w:color="000000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2"/>
        <w:gridCol w:w="4430"/>
      </w:tblGrid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5" w:type="pct"/>
            <w:noWrap w:val="0"/>
            <w:vAlign w:val="top"/>
          </w:tcPr>
          <w:p>
            <w:pPr>
              <w:spacing w:line="59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苏州市教育局办公室</w:t>
            </w:r>
          </w:p>
        </w:tc>
        <w:tc>
          <w:tcPr>
            <w:tcW w:w="2444" w:type="pct"/>
            <w:noWrap w:val="0"/>
            <w:vAlign w:val="top"/>
          </w:tcPr>
          <w:p>
            <w:pPr>
              <w:wordWrap w:val="0"/>
              <w:spacing w:line="590" w:lineRule="exact"/>
              <w:ind w:firstLine="280" w:firstLine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2024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 xml:space="preserve">日印发  </w:t>
            </w:r>
          </w:p>
        </w:tc>
      </w:tr>
    </w:tbl>
    <w:p>
      <w:pPr>
        <w:pStyle w:val="3"/>
        <w:bidi w:val="0"/>
      </w:pPr>
    </w:p>
    <w:sectPr>
      <w:headerReference r:id="rId3" w:type="default"/>
      <w:footerReference r:id="rId4" w:type="default"/>
      <w:pgSz w:w="11907" w:h="16840"/>
      <w:pgMar w:top="2041" w:right="1417" w:bottom="2041" w:left="1417" w:header="851" w:footer="1587" w:gutter="227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1EC4A56-8867-4CD6-86DB-63035AED10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F5AEB1-C07E-475A-99B8-254D29E00F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E9C398-AB3D-473A-B503-B6E55D3C8B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3ECE8C-2C6D-4652-9E37-F975141EE88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7F292DB-248C-41AA-8263-A9894A861B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EAE9BB7E-604B-4EDB-9C99-B432583CB3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0W2NO0BAADVAwAADgAAAGRycy9lMm9Eb2MueG1srVNLbtswEN0XyB0I&#10;7mMpDl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l5RYbvDCj79+Hn//Pf75&#10;QS6TPJ0PFWbdecyL/XvX49JM5wEPE+u+AZP+yIdgHMU9nMSVfSQiFS3mi0WJIYGxyUH84qncQ4gf&#10;pTMkGYwC3l4Wle8/hzikTimpm3W3Sut8g9qSjtF3V/Or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vRbY0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YTJjMjUwZGEyZjJiODFhMTlhYmEzNjdhOWVlZTUifQ=="/>
  </w:docVars>
  <w:rsids>
    <w:rsidRoot w:val="07D92EAB"/>
    <w:rsid w:val="00045292"/>
    <w:rsid w:val="000803F5"/>
    <w:rsid w:val="00082101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B484F"/>
    <w:rsid w:val="002B72F5"/>
    <w:rsid w:val="002C01D3"/>
    <w:rsid w:val="002C53F0"/>
    <w:rsid w:val="002E56A4"/>
    <w:rsid w:val="002E7B43"/>
    <w:rsid w:val="002F5677"/>
    <w:rsid w:val="003109A8"/>
    <w:rsid w:val="003168B0"/>
    <w:rsid w:val="00322EAE"/>
    <w:rsid w:val="00331D07"/>
    <w:rsid w:val="003322F1"/>
    <w:rsid w:val="00351D37"/>
    <w:rsid w:val="00363833"/>
    <w:rsid w:val="0038526F"/>
    <w:rsid w:val="00390A7B"/>
    <w:rsid w:val="00391B10"/>
    <w:rsid w:val="003C316A"/>
    <w:rsid w:val="003E16C4"/>
    <w:rsid w:val="003F3FD2"/>
    <w:rsid w:val="004076DD"/>
    <w:rsid w:val="0042736D"/>
    <w:rsid w:val="00455C99"/>
    <w:rsid w:val="00463FE2"/>
    <w:rsid w:val="004852FE"/>
    <w:rsid w:val="00490EB1"/>
    <w:rsid w:val="0049110A"/>
    <w:rsid w:val="00495309"/>
    <w:rsid w:val="004A2E29"/>
    <w:rsid w:val="004B2169"/>
    <w:rsid w:val="004B618A"/>
    <w:rsid w:val="004B626E"/>
    <w:rsid w:val="004C5FC4"/>
    <w:rsid w:val="004E4E36"/>
    <w:rsid w:val="004F67D6"/>
    <w:rsid w:val="004F6DCA"/>
    <w:rsid w:val="00525143"/>
    <w:rsid w:val="00545DC4"/>
    <w:rsid w:val="00554CA5"/>
    <w:rsid w:val="0055512D"/>
    <w:rsid w:val="005568DE"/>
    <w:rsid w:val="00560E55"/>
    <w:rsid w:val="00582D09"/>
    <w:rsid w:val="0058530A"/>
    <w:rsid w:val="005A2FA0"/>
    <w:rsid w:val="005C2E4F"/>
    <w:rsid w:val="005D6720"/>
    <w:rsid w:val="005D7665"/>
    <w:rsid w:val="0060470C"/>
    <w:rsid w:val="006151D5"/>
    <w:rsid w:val="006721B8"/>
    <w:rsid w:val="00692AEB"/>
    <w:rsid w:val="006A7E9C"/>
    <w:rsid w:val="006B2558"/>
    <w:rsid w:val="006B33F9"/>
    <w:rsid w:val="006B58E2"/>
    <w:rsid w:val="006C3ADF"/>
    <w:rsid w:val="006E1B4A"/>
    <w:rsid w:val="006F6DF7"/>
    <w:rsid w:val="00724B7A"/>
    <w:rsid w:val="007316E9"/>
    <w:rsid w:val="00741B66"/>
    <w:rsid w:val="0075124D"/>
    <w:rsid w:val="007863ED"/>
    <w:rsid w:val="007A519A"/>
    <w:rsid w:val="008144A5"/>
    <w:rsid w:val="00815BDF"/>
    <w:rsid w:val="00817FA3"/>
    <w:rsid w:val="00851202"/>
    <w:rsid w:val="00867029"/>
    <w:rsid w:val="00872179"/>
    <w:rsid w:val="00876921"/>
    <w:rsid w:val="00892BFD"/>
    <w:rsid w:val="00895067"/>
    <w:rsid w:val="008B50C4"/>
    <w:rsid w:val="008D5EF8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C39E3"/>
    <w:rsid w:val="009C4710"/>
    <w:rsid w:val="009D0535"/>
    <w:rsid w:val="00A41F29"/>
    <w:rsid w:val="00A536CF"/>
    <w:rsid w:val="00AC37A4"/>
    <w:rsid w:val="00AD4CC3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572C"/>
    <w:rsid w:val="00BC0400"/>
    <w:rsid w:val="00BE0B14"/>
    <w:rsid w:val="00BF60FA"/>
    <w:rsid w:val="00C420CA"/>
    <w:rsid w:val="00C615D1"/>
    <w:rsid w:val="00C639B3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B4DB1"/>
    <w:rsid w:val="00DE1A7E"/>
    <w:rsid w:val="00DF6C3A"/>
    <w:rsid w:val="00E066BB"/>
    <w:rsid w:val="00E17777"/>
    <w:rsid w:val="00E601FE"/>
    <w:rsid w:val="00E619F2"/>
    <w:rsid w:val="00E72A34"/>
    <w:rsid w:val="00E83AD3"/>
    <w:rsid w:val="00EE6E7A"/>
    <w:rsid w:val="00F33872"/>
    <w:rsid w:val="00F33CA6"/>
    <w:rsid w:val="00F52DA0"/>
    <w:rsid w:val="00FD11C0"/>
    <w:rsid w:val="01DB319C"/>
    <w:rsid w:val="02355BCC"/>
    <w:rsid w:val="04F03B8D"/>
    <w:rsid w:val="068668C4"/>
    <w:rsid w:val="07D92EAB"/>
    <w:rsid w:val="09E25B10"/>
    <w:rsid w:val="160D633B"/>
    <w:rsid w:val="1CFC0981"/>
    <w:rsid w:val="1DCE03C3"/>
    <w:rsid w:val="1E0D2B93"/>
    <w:rsid w:val="21DB47FB"/>
    <w:rsid w:val="23316C48"/>
    <w:rsid w:val="26982715"/>
    <w:rsid w:val="27D15126"/>
    <w:rsid w:val="27F80543"/>
    <w:rsid w:val="2B5413B3"/>
    <w:rsid w:val="318837B6"/>
    <w:rsid w:val="319E2F7B"/>
    <w:rsid w:val="386B55AA"/>
    <w:rsid w:val="399D5252"/>
    <w:rsid w:val="3C5C56D5"/>
    <w:rsid w:val="3D0243FE"/>
    <w:rsid w:val="44F95AA6"/>
    <w:rsid w:val="48730F4B"/>
    <w:rsid w:val="4CD23E2E"/>
    <w:rsid w:val="583A5470"/>
    <w:rsid w:val="5DDD3E9C"/>
    <w:rsid w:val="6215580D"/>
    <w:rsid w:val="639705D8"/>
    <w:rsid w:val="677C2178"/>
    <w:rsid w:val="692A175D"/>
    <w:rsid w:val="6FC32419"/>
    <w:rsid w:val="70DE2883"/>
    <w:rsid w:val="715C46C2"/>
    <w:rsid w:val="74B7598C"/>
    <w:rsid w:val="7F870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11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12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13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4">
    <w:name w:val="公文二级目录"/>
    <w:basedOn w:val="1"/>
    <w:qFormat/>
    <w:uiPriority w:val="0"/>
    <w:pPr>
      <w:ind w:firstLine="640" w:firstLineChars="200"/>
    </w:pPr>
    <w:rPr>
      <w:rFonts w:ascii="楷体_GB2312" w:hAnsi="楷体_GB2312" w:eastAsia="楷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7325;&#35201;&#25991;&#20214;\2024&#27169;&#26495;\&#33487;&#25945;20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苏教2024.dot</Template>
  <Pages>6</Pages>
  <Words>1879</Words>
  <Characters>1966</Characters>
  <Lines>1</Lines>
  <Paragraphs>1</Paragraphs>
  <TotalTime>3</TotalTime>
  <ScaleCrop>false</ScaleCrop>
  <LinksUpToDate>false</LinksUpToDate>
  <CharactersWithSpaces>2054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2024-05-24T08:51:00Z</dcterms:created>
  <dc:creator>琪思喵相</dc:creator>
  <cp:keywords>JYJBGS</cp:keywords>
  <cp:lastModifiedBy>琪思喵相</cp:lastModifiedBy>
  <cp:lastPrinted>2024-06-07T03:08:39Z</cp:lastPrinted>
  <dcterms:modified xsi:type="dcterms:W3CDTF">2024-06-07T03:09:56Z</dcterms:modified>
  <dc:title>行政公文模板2020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77CC4746F03748B4A1F3722358C3D62F_13</vt:lpwstr>
  </property>
</Properties>
</file>