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ight="338" w:rightChars="161"/>
        <w:jc w:val="distribute"/>
        <w:rPr>
          <w:rFonts w:hint="eastAsia" w:ascii="方正小标宋简体" w:eastAsia="方正小标宋简体"/>
          <w:color w:val="FF0000"/>
          <w:sz w:val="72"/>
          <w:szCs w:val="72"/>
        </w:rPr>
      </w:pPr>
      <w:r>
        <w:rPr>
          <w:rFonts w:hint="eastAsia" w:ascii="方正小标宋简体" w:eastAsia="方正小标宋简体"/>
          <w:color w:val="FF0000"/>
          <w:sz w:val="72"/>
          <w:szCs w:val="72"/>
        </w:rPr>
        <w:t>苏州市教育局</w:t>
      </w:r>
    </w:p>
    <w:p>
      <w:pPr>
        <w:spacing w:line="400" w:lineRule="exact"/>
        <w:jc w:val="right"/>
        <w:rPr>
          <w:sz w:val="32"/>
          <w:szCs w:val="32"/>
        </w:rPr>
      </w:pPr>
      <w:r>
        <w:rPr>
          <w:sz w:val="32"/>
          <w:szCs w:val="3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84455</wp:posOffset>
                </wp:positionV>
                <wp:extent cx="5801360" cy="0"/>
                <wp:effectExtent l="0" t="31750" r="8890" b="44450"/>
                <wp:wrapNone/>
                <wp:docPr id="1" name="直线 6"/>
                <wp:cNvGraphicFramePr/>
                <a:graphic xmlns:a="http://schemas.openxmlformats.org/drawingml/2006/main">
                  <a:graphicData uri="http://schemas.microsoft.com/office/word/2010/wordprocessingShape">
                    <wps:wsp>
                      <wps:cNvCnPr/>
                      <wps:spPr>
                        <a:xfrm>
                          <a:off x="0" y="0"/>
                          <a:ext cx="5801360" cy="0"/>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05pt;margin-top:6.65pt;height:0pt;width:456.8pt;z-index:251658240;mso-width-relative:page;mso-height-relative:page;" filled="f" stroked="t" coordsize="21600,21600" o:gfxdata="UEsDBAoAAAAAAIdO4kAAAAAAAAAAAAAAAAAEAAAAZHJzL1BLAwQUAAAACACHTuJAAWLqzdEAAAAH&#10;AQAADwAAAGRycy9kb3ducmV2LnhtbE2OT0vDQBDF74LfYRnBW7uJQdE0mx4KpefEInibZsckNDsb&#10;sps2/faOeNDj+8N7v2K7uEFdaAq9ZwPpOgFF3Hjbc2vg+L5fvYIKEdni4JkM3CjAtry/KzC3/soV&#10;XerYKhnhkKOBLsYx1zo0HTkMaz8SS/blJ4dR5NRqO+FVxt2gn5LkRTvsWR46HGnXUXOuZ2fgUC/B&#10;6XZf9/z5cTjOYddU1c2Yx4c02YCKtMS/MvzgCzqUwnTyM9ugBgOrVIpiZxkoid/S7BnU6dfQZaH/&#10;85ffUEsDBBQAAAAIAIdO4kDmGrrj1AEAAJQDAAAOAAAAZHJzL2Uyb0RvYy54bWytU0tu2zAQ3Rfo&#10;HQjua8kJYgSC5SziupuiNdD0AGN+LKL8gcNY9ll6ja666XFyjQ5px0mbTVBUC2rIGT2+92Y0v9k7&#10;y3YqoQm+59NJy5nyIkjjtz3/erd6d80ZZvASbPCq5weF/Gbx9s18jJ26CEOwUiVGIB67MfZ8yDl2&#10;TYNiUA5wEqLylNQhOci0TdtGJhgJ3dnmom1nzRiSjCkIhUiny2OSLyq+1krkz1qjysz2nLjluqa6&#10;bsraLObQbRPEwYgTDfgHFg6Mp0vPUEvIwO6TeQHljEgBg84TEVwTtDZCVQ2kZtr+pebLAFFVLWQO&#10;xrNN+P9gxafdOjEjqXeceXDUoofvPx5+/mKz4s0YsaOSW79Opx3GdSpC9zq58iYJbF/9PJz9VPvM&#10;BB1eXbfTyxnZLh5zzdOHMWH+oIJjJei5Nb5IhQ52HzHTZVT6WFKOrWdjz2eXV23BAxoVbSFT6CKR&#10;z9S+b3fDqQkYrJErY235ENN2c2sT2wGNwGrV0lOUEfwfZeWuJeBwrKup43AMCuR7L1k+RDLH0xTz&#10;wsQpyZlVNPQlIkDoMhj7mkq62npiUMw92lmiTZAHasV9TGY7kCHTyrJkqPWV72lMy2w931ekp59p&#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YurN0QAAAAcBAAAPAAAAAAAAAAEAIAAAACIAAABk&#10;cnMvZG93bnJldi54bWxQSwECFAAUAAAACACHTuJA5hq649QBAACUAwAADgAAAAAAAAABACAAAAAg&#10;AQAAZHJzL2Uyb0RvYy54bWxQSwUGAAAAAAYABgBZAQAAZgUAAAAA&#10;">
                <v:fill on="f" focussize="0,0"/>
                <v:stroke weight="5pt" color="#FF0000" linestyle="thickThin" joinstyle="round"/>
                <v:imagedata o:title=""/>
                <o:lock v:ext="edit" aspectratio="f"/>
              </v:line>
            </w:pict>
          </mc:Fallback>
        </mc:AlternateContent>
      </w:r>
    </w:p>
    <w:p>
      <w:pPr>
        <w:jc w:val="right"/>
        <w:rPr>
          <w:rFonts w:ascii="仿宋" w:hAnsi="仿宋" w:eastAsia="仿宋"/>
          <w:sz w:val="32"/>
          <w:szCs w:val="32"/>
        </w:rPr>
      </w:pPr>
      <w:r>
        <w:rPr>
          <w:rFonts w:hint="eastAsia" w:ascii="仿宋" w:hAnsi="仿宋" w:eastAsia="仿宋"/>
          <w:sz w:val="32"/>
          <w:szCs w:val="32"/>
        </w:rPr>
        <w:t>苏教</w:t>
      </w:r>
      <w:r>
        <w:rPr>
          <w:rFonts w:hint="eastAsia" w:ascii="仿宋" w:hAnsi="仿宋" w:eastAsia="仿宋"/>
          <w:sz w:val="32"/>
          <w:szCs w:val="32"/>
          <w:lang w:eastAsia="zh-CN"/>
        </w:rPr>
        <w:t>安</w:t>
      </w:r>
      <w:r>
        <w:rPr>
          <w:rFonts w:hint="eastAsia" w:ascii="仿宋" w:hAnsi="仿宋" w:eastAsia="仿宋"/>
          <w:sz w:val="32"/>
          <w:szCs w:val="32"/>
        </w:rPr>
        <w:t>函〔201</w:t>
      </w:r>
      <w:r>
        <w:rPr>
          <w:rFonts w:ascii="仿宋" w:hAnsi="仿宋" w:eastAsia="仿宋"/>
          <w:sz w:val="32"/>
          <w:szCs w:val="32"/>
        </w:rPr>
        <w:t>9</w:t>
      </w:r>
      <w:r>
        <w:rPr>
          <w:rFonts w:hint="eastAsia" w:ascii="仿宋" w:hAnsi="仿宋" w:eastAsia="仿宋"/>
          <w:sz w:val="32"/>
          <w:szCs w:val="32"/>
        </w:rPr>
        <w:t>〕</w:t>
      </w:r>
      <w:r>
        <w:rPr>
          <w:rFonts w:hint="eastAsia" w:ascii="仿宋" w:hAnsi="仿宋" w:eastAsia="仿宋"/>
          <w:sz w:val="32"/>
          <w:szCs w:val="32"/>
          <w:lang w:val="en-US" w:eastAsia="zh-CN"/>
        </w:rPr>
        <w:t>29</w:t>
      </w:r>
      <w:r>
        <w:rPr>
          <w:rFonts w:hint="eastAsia" w:ascii="仿宋" w:hAnsi="仿宋" w:eastAsia="仿宋"/>
          <w:sz w:val="32"/>
          <w:szCs w:val="32"/>
        </w:rPr>
        <w:t>号</w:t>
      </w:r>
    </w:p>
    <w:p>
      <w:pPr>
        <w:jc w:val="right"/>
        <w:rPr>
          <w:sz w:val="32"/>
          <w:szCs w:val="32"/>
        </w:rPr>
      </w:pPr>
    </w:p>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关于印发</w:t>
      </w:r>
      <w:r>
        <w:rPr>
          <w:rFonts w:hint="eastAsia" w:ascii="方正小标宋简体" w:eastAsia="方正小标宋简体"/>
          <w:color w:val="000000" w:themeColor="text1"/>
          <w:sz w:val="44"/>
          <w:szCs w:val="44"/>
          <w:lang w:eastAsia="zh-CN"/>
          <w14:textFill>
            <w14:solidFill>
              <w14:schemeClr w14:val="tx1"/>
            </w14:solidFill>
          </w14:textFill>
        </w:rPr>
        <w:t>教育系统重大</w:t>
      </w:r>
      <w:r>
        <w:rPr>
          <w:rFonts w:hint="eastAsia" w:ascii="方正小标宋简体" w:eastAsia="方正小标宋简体"/>
          <w:color w:val="000000" w:themeColor="text1"/>
          <w:sz w:val="44"/>
          <w:szCs w:val="44"/>
          <w14:textFill>
            <w14:solidFill>
              <w14:schemeClr w14:val="tx1"/>
            </w14:solidFill>
          </w14:textFill>
        </w:rPr>
        <w:t>安全</w:t>
      </w:r>
    </w:p>
    <w:p>
      <w:pPr>
        <w:spacing w:line="60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风险隐患及防控整改措施清单的通知</w:t>
      </w:r>
    </w:p>
    <w:p>
      <w:pPr>
        <w:rPr>
          <w:rFonts w:ascii="仿宋" w:hAnsi="仿宋" w:eastAsia="仿宋"/>
          <w:color w:val="000000" w:themeColor="text1"/>
          <w:sz w:val="32"/>
          <w:szCs w:val="32"/>
          <w14:textFill>
            <w14:solidFill>
              <w14:schemeClr w14:val="tx1"/>
            </w14:solidFill>
          </w14:textFill>
        </w:rPr>
      </w:pPr>
    </w:p>
    <w:p>
      <w:pPr>
        <w:keepNext w:val="0"/>
        <w:keepLines w:val="0"/>
        <w:pageBreakBefore w:val="0"/>
        <w:kinsoku/>
        <w:overflowPunct/>
        <w:topLinePunct w:val="0"/>
        <w:bidi w:val="0"/>
        <w:adjustRightInd/>
        <w:snapToGrid/>
        <w:spacing w:line="570" w:lineRule="exac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各市、区教育局（教</w:t>
      </w:r>
      <w:r>
        <w:rPr>
          <w:rFonts w:hint="eastAsia" w:ascii="仿宋" w:hAnsi="仿宋" w:eastAsia="仿宋"/>
          <w:color w:val="000000" w:themeColor="text1"/>
          <w:sz w:val="32"/>
          <w:szCs w:val="32"/>
          <w:lang w:eastAsia="zh-CN"/>
          <w14:textFill>
            <w14:solidFill>
              <w14:schemeClr w14:val="tx1"/>
            </w14:solidFill>
          </w14:textFill>
        </w:rPr>
        <w:t>体文旅</w:t>
      </w:r>
      <w:r>
        <w:rPr>
          <w:rFonts w:hint="eastAsia" w:ascii="仿宋" w:hAnsi="仿宋" w:eastAsia="仿宋"/>
          <w:color w:val="000000" w:themeColor="text1"/>
          <w:sz w:val="32"/>
          <w:szCs w:val="32"/>
          <w14:textFill>
            <w14:solidFill>
              <w14:schemeClr w14:val="tx1"/>
            </w14:solidFill>
          </w14:textFill>
        </w:rPr>
        <w:t>委），各直属</w:t>
      </w:r>
      <w:r>
        <w:rPr>
          <w:rFonts w:hint="eastAsia" w:ascii="仿宋" w:hAnsi="仿宋" w:eastAsia="仿宋"/>
          <w:color w:val="000000" w:themeColor="text1"/>
          <w:sz w:val="32"/>
          <w:szCs w:val="32"/>
          <w:lang w:eastAsia="zh-CN"/>
          <w14:textFill>
            <w14:solidFill>
              <w14:schemeClr w14:val="tx1"/>
            </w14:solidFill>
          </w14:textFill>
        </w:rPr>
        <w:t>（代管）</w:t>
      </w:r>
      <w:r>
        <w:rPr>
          <w:rFonts w:hint="eastAsia" w:ascii="仿宋" w:hAnsi="仿宋" w:eastAsia="仿宋"/>
          <w:color w:val="000000" w:themeColor="text1"/>
          <w:sz w:val="32"/>
          <w:szCs w:val="32"/>
          <w14:textFill>
            <w14:solidFill>
              <w14:schemeClr w14:val="tx1"/>
            </w14:solidFill>
          </w14:textFill>
        </w:rPr>
        <w:t>学校</w:t>
      </w:r>
      <w:r>
        <w:rPr>
          <w:rFonts w:hint="eastAsia" w:ascii="仿宋" w:hAnsi="仿宋" w:eastAsia="仿宋"/>
          <w:color w:val="000000" w:themeColor="text1"/>
          <w:sz w:val="32"/>
          <w:szCs w:val="32"/>
          <w:lang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为切实抓好全市中小学幼儿园安全风险隐患及防控整改工作，根据上级有关文件要求和会议精神，</w:t>
      </w:r>
      <w:r>
        <w:rPr>
          <w:rFonts w:hint="eastAsia" w:ascii="仿宋" w:hAnsi="仿宋" w:eastAsia="仿宋" w:cs="仿宋"/>
          <w:color w:val="000000" w:themeColor="text1"/>
          <w:sz w:val="32"/>
          <w:szCs w:val="32"/>
          <w:lang w:eastAsia="zh-CN"/>
          <w14:textFill>
            <w14:solidFill>
              <w14:schemeClr w14:val="tx1"/>
            </w14:solidFill>
          </w14:textFill>
        </w:rPr>
        <w:t>现就有关事项通知如下：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一、提高政治站位，压紧压实安全责任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各地各学校（单位）必须坚持“党政同责、一岗双责、齐抓共管、失职追职”</w:t>
      </w:r>
      <w:r>
        <w:rPr>
          <w:rFonts w:hint="eastAsia" w:ascii="Times New Roman"/>
          <w:color w:val="000000" w:themeColor="text1"/>
          <w:sz w:val="32"/>
          <w:szCs w:val="32"/>
          <w14:textFill>
            <w14:solidFill>
              <w14:schemeClr w14:val="tx1"/>
            </w14:solidFill>
          </w14:textFill>
        </w:rPr>
        <w:t>“管教学，就必须管安全；管学生，就必须管安全；管教师，就必须管安全；管后勤基建，就必须管安全”“分级负责、属地为主”“谁主管、谁负责，谁组织、谁负责”</w:t>
      </w:r>
      <w:r>
        <w:rPr>
          <w:rFonts w:hint="eastAsia" w:ascii="Times New Roman"/>
          <w:color w:val="000000" w:themeColor="text1"/>
          <w:sz w:val="32"/>
          <w:szCs w:val="32"/>
          <w:lang w:eastAsia="zh-CN"/>
          <w14:textFill>
            <w14:solidFill>
              <w14:schemeClr w14:val="tx1"/>
            </w14:solidFill>
          </w14:textFill>
        </w:rPr>
        <w:t>的要求</w:t>
      </w:r>
      <w:r>
        <w:rPr>
          <w:rFonts w:hint="eastAsia" w:ascii="Times New Roman"/>
          <w:color w:val="000000" w:themeColor="text1"/>
          <w:sz w:val="32"/>
          <w:szCs w:val="32"/>
          <w14:textFill>
            <w14:solidFill>
              <w14:schemeClr w14:val="tx1"/>
            </w14:solidFill>
          </w14:textFill>
        </w:rPr>
        <w:t>，履行相应的校园安全工作职责</w:t>
      </w:r>
      <w:r>
        <w:rPr>
          <w:rFonts w:hint="eastAsia" w:ascii="Times New Roman"/>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坚决贯彻落实习近平总书记关于校园安全的一系列重要指示精神和党中央、国务院、省委、省政府、市委、市政府的有关部署，切实加强对校园安全工作的组织领导，始终把安全作为头等大事来抓，时刻绷紧安全这根弦，时刻把狠抓安全工作作为树牢“四个意识”、践行“两个维护”的政治要求落实到位见成效，压紧压实安全责任，进一步完善安全工作责任体系。要坚持问题导向，坚决杜绝</w:t>
      </w:r>
      <w:r>
        <w:rPr>
          <w:rFonts w:hint="eastAsia" w:ascii="仿宋" w:hAnsi="仿宋" w:eastAsia="仿宋" w:cs="仿宋"/>
          <w:color w:val="000000" w:themeColor="text1"/>
          <w:sz w:val="32"/>
          <w:szCs w:val="32"/>
          <w14:textFill>
            <w14:solidFill>
              <w14:schemeClr w14:val="tx1"/>
            </w14:solidFill>
          </w14:textFill>
        </w:rPr>
        <w:t>形式主义、官僚主义</w:t>
      </w:r>
      <w:r>
        <w:rPr>
          <w:rFonts w:hint="eastAsia" w:ascii="仿宋" w:hAnsi="仿宋" w:eastAsia="仿宋" w:cs="仿宋"/>
          <w:color w:val="000000" w:themeColor="text1"/>
          <w:sz w:val="32"/>
          <w:szCs w:val="32"/>
          <w:lang w:eastAsia="zh-CN"/>
          <w14:textFill>
            <w14:solidFill>
              <w14:schemeClr w14:val="tx1"/>
            </w14:solidFill>
          </w14:textFill>
        </w:rPr>
        <w:t>，认真对照省、市重点行业领域重大安全风险隐患及防控整改措施清单要求</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查找薄弱环节，逐项研究好对策，逐项管控好风险。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二、坚持底线思维，狠抓问题隐患整改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重点行业领域重大安全风险隐患及防控整改措施清单是</w:t>
      </w:r>
      <w:r>
        <w:rPr>
          <w:rFonts w:hint="eastAsia" w:ascii="仿宋" w:hAnsi="仿宋" w:eastAsia="仿宋" w:cs="仿宋"/>
          <w:color w:val="000000" w:themeColor="text1"/>
          <w:sz w:val="32"/>
          <w:szCs w:val="32"/>
          <w14:textFill>
            <w14:solidFill>
              <w14:schemeClr w14:val="tx1"/>
            </w14:solidFill>
          </w14:textFill>
        </w:rPr>
        <w:t>4月5日省安委会专题会议</w:t>
      </w:r>
      <w:r>
        <w:rPr>
          <w:rFonts w:hint="eastAsia" w:ascii="仿宋" w:hAnsi="仿宋" w:eastAsia="仿宋" w:cs="仿宋"/>
          <w:color w:val="000000" w:themeColor="text1"/>
          <w:sz w:val="32"/>
          <w:szCs w:val="32"/>
          <w:lang w:eastAsia="zh-CN"/>
          <w14:textFill>
            <w14:solidFill>
              <w14:schemeClr w14:val="tx1"/>
            </w14:solidFill>
          </w14:textFill>
        </w:rPr>
        <w:t>确定的重要内容，是</w:t>
      </w:r>
      <w:r>
        <w:rPr>
          <w:rFonts w:hint="eastAsia" w:ascii="仿宋" w:hAnsi="仿宋" w:eastAsia="仿宋" w:cs="仿宋"/>
          <w:color w:val="000000" w:themeColor="text1"/>
          <w:sz w:val="32"/>
          <w:szCs w:val="32"/>
          <w14:textFill>
            <w14:solidFill>
              <w14:schemeClr w14:val="tx1"/>
            </w14:solidFill>
          </w14:textFill>
        </w:rPr>
        <w:t>聚焦</w:t>
      </w:r>
      <w:r>
        <w:rPr>
          <w:rFonts w:hint="eastAsia" w:ascii="仿宋" w:hAnsi="仿宋" w:eastAsia="仿宋" w:cs="仿宋"/>
          <w:color w:val="000000" w:themeColor="text1"/>
          <w:sz w:val="32"/>
          <w:szCs w:val="32"/>
          <w:lang w:eastAsia="zh-CN"/>
          <w14:textFill>
            <w14:solidFill>
              <w14:schemeClr w14:val="tx1"/>
            </w14:solidFill>
          </w14:textFill>
        </w:rPr>
        <w:t>排查</w:t>
      </w:r>
      <w:r>
        <w:rPr>
          <w:rFonts w:hint="eastAsia" w:ascii="仿宋" w:hAnsi="仿宋" w:eastAsia="仿宋" w:cs="仿宋"/>
          <w:color w:val="000000" w:themeColor="text1"/>
          <w:sz w:val="32"/>
          <w:szCs w:val="32"/>
          <w14:textFill>
            <w14:solidFill>
              <w14:schemeClr w14:val="tx1"/>
            </w14:solidFill>
          </w14:textFill>
        </w:rPr>
        <w:t>重点行业领域重大安全风险隐患及防控整改措施</w:t>
      </w:r>
      <w:r>
        <w:rPr>
          <w:rFonts w:hint="eastAsia" w:ascii="仿宋" w:hAnsi="仿宋" w:eastAsia="仿宋" w:cs="仿宋"/>
          <w:color w:val="000000" w:themeColor="text1"/>
          <w:sz w:val="32"/>
          <w:szCs w:val="32"/>
          <w:lang w:eastAsia="zh-CN"/>
          <w14:textFill>
            <w14:solidFill>
              <w14:schemeClr w14:val="tx1"/>
            </w14:solidFill>
          </w14:textFill>
        </w:rPr>
        <w:t>的重要手段，必须</w:t>
      </w:r>
      <w:r>
        <w:rPr>
          <w:rFonts w:hint="eastAsia" w:ascii="仿宋" w:hAnsi="仿宋" w:eastAsia="仿宋" w:cs="仿宋"/>
          <w:color w:val="000000" w:themeColor="text1"/>
          <w:sz w:val="32"/>
          <w:szCs w:val="32"/>
          <w14:textFill>
            <w14:solidFill>
              <w14:schemeClr w14:val="tx1"/>
            </w14:solidFill>
          </w14:textFill>
        </w:rPr>
        <w:t>要坚持底线思维，</w:t>
      </w:r>
      <w:r>
        <w:rPr>
          <w:rFonts w:hint="eastAsia" w:ascii="仿宋" w:hAnsi="仿宋" w:eastAsia="仿宋" w:cs="仿宋"/>
          <w:color w:val="000000" w:themeColor="text1"/>
          <w:sz w:val="32"/>
          <w:szCs w:val="32"/>
          <w:lang w:eastAsia="zh-CN"/>
          <w14:textFill>
            <w14:solidFill>
              <w14:schemeClr w14:val="tx1"/>
            </w14:solidFill>
          </w14:textFill>
        </w:rPr>
        <w:t>必须要</w:t>
      </w:r>
      <w:r>
        <w:rPr>
          <w:rFonts w:hint="eastAsia" w:ascii="仿宋" w:hAnsi="仿宋" w:eastAsia="仿宋" w:cs="仿宋"/>
          <w:color w:val="000000" w:themeColor="text1"/>
          <w:sz w:val="32"/>
          <w:szCs w:val="32"/>
          <w14:textFill>
            <w14:solidFill>
              <w14:schemeClr w14:val="tx1"/>
            </w14:solidFill>
          </w14:textFill>
        </w:rPr>
        <w:t>狠抓问题隐患整改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对查出的隐患</w:t>
      </w:r>
      <w:r>
        <w:rPr>
          <w:rFonts w:hint="eastAsia" w:ascii="仿宋" w:hAnsi="仿宋" w:eastAsia="仿宋" w:cs="仿宋"/>
          <w:color w:val="000000" w:themeColor="text1"/>
          <w:sz w:val="32"/>
          <w:szCs w:val="32"/>
          <w:lang w:eastAsia="zh-CN"/>
          <w14:textFill>
            <w14:solidFill>
              <w14:schemeClr w14:val="tx1"/>
            </w14:solidFill>
          </w14:textFill>
        </w:rPr>
        <w:t>和提出的防控整改措施，凡属职责范围的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都必须</w:t>
      </w:r>
      <w:r>
        <w:rPr>
          <w:rFonts w:hint="eastAsia" w:ascii="仿宋" w:hAnsi="仿宋" w:eastAsia="仿宋" w:cs="仿宋"/>
          <w:color w:val="000000" w:themeColor="text1"/>
          <w:sz w:val="32"/>
          <w:szCs w:val="32"/>
          <w14:textFill>
            <w14:solidFill>
              <w14:schemeClr w14:val="tx1"/>
            </w14:solidFill>
          </w14:textFill>
        </w:rPr>
        <w:t>立即</w:t>
      </w:r>
      <w:r>
        <w:rPr>
          <w:rFonts w:hint="eastAsia" w:ascii="仿宋" w:hAnsi="仿宋" w:eastAsia="仿宋" w:cs="仿宋"/>
          <w:color w:val="000000" w:themeColor="text1"/>
          <w:sz w:val="32"/>
          <w:szCs w:val="32"/>
          <w:lang w:eastAsia="zh-CN"/>
          <w14:textFill>
            <w14:solidFill>
              <w14:schemeClr w14:val="tx1"/>
            </w14:solidFill>
          </w14:textFill>
        </w:rPr>
        <w:t>采取有效措施进行</w:t>
      </w:r>
      <w:r>
        <w:rPr>
          <w:rFonts w:hint="eastAsia" w:ascii="仿宋" w:hAnsi="仿宋" w:eastAsia="仿宋" w:cs="仿宋"/>
          <w:color w:val="000000" w:themeColor="text1"/>
          <w:sz w:val="32"/>
          <w:szCs w:val="32"/>
          <w14:textFill>
            <w14:solidFill>
              <w14:schemeClr w14:val="tx1"/>
            </w14:solidFill>
          </w14:textFill>
        </w:rPr>
        <w:t>整治</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整治需要时间的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要严防死守，落实责任人、明确时间表，做到整改责任、措施、资金、时限、预案的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五落实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。同时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要对隐患清单实施动态调整，实施动态排查整治，确保老问题不放过，新问题不疏漏，切实做到隐患见底、措施到底、整治彻底</w:t>
      </w:r>
      <w:r>
        <w:rPr>
          <w:rFonts w:hint="eastAsia" w:ascii="仿宋" w:hAnsi="仿宋" w:eastAsia="仿宋" w:cs="仿宋"/>
          <w:color w:val="000000" w:themeColor="text1"/>
          <w:sz w:val="32"/>
          <w:szCs w:val="32"/>
          <w:lang w:eastAsia="zh-CN"/>
          <w14:textFill>
            <w14:solidFill>
              <w14:schemeClr w14:val="tx1"/>
            </w14:solidFill>
          </w14:textFill>
        </w:rPr>
        <w:t>；对存在的</w:t>
      </w:r>
      <w:r>
        <w:rPr>
          <w:rFonts w:hint="eastAsia" w:ascii="仿宋" w:hAnsi="仿宋" w:eastAsia="仿宋" w:cs="仿宋"/>
          <w:color w:val="000000" w:themeColor="text1"/>
          <w:sz w:val="32"/>
          <w:szCs w:val="32"/>
          <w14:textFill>
            <w14:solidFill>
              <w14:schemeClr w14:val="tx1"/>
            </w14:solidFill>
          </w14:textFill>
        </w:rPr>
        <w:t>重大风险隐患</w:t>
      </w:r>
      <w:r>
        <w:rPr>
          <w:rFonts w:hint="eastAsia" w:ascii="仿宋" w:hAnsi="仿宋" w:eastAsia="仿宋" w:cs="仿宋"/>
          <w:color w:val="000000" w:themeColor="text1"/>
          <w:sz w:val="32"/>
          <w:szCs w:val="32"/>
          <w:lang w:eastAsia="zh-CN"/>
          <w14:textFill>
            <w14:solidFill>
              <w14:schemeClr w14:val="tx1"/>
            </w14:solidFill>
          </w14:textFill>
        </w:rPr>
        <w:t>进行</w:t>
      </w:r>
      <w:r>
        <w:rPr>
          <w:rFonts w:hint="eastAsia" w:ascii="仿宋" w:hAnsi="仿宋" w:eastAsia="仿宋" w:cs="仿宋"/>
          <w:color w:val="000000" w:themeColor="text1"/>
          <w:sz w:val="32"/>
          <w:szCs w:val="32"/>
          <w14:textFill>
            <w14:solidFill>
              <w14:schemeClr w14:val="tx1"/>
            </w14:solidFill>
          </w14:textFill>
        </w:rPr>
        <w:t>排查</w:t>
      </w:r>
      <w:r>
        <w:rPr>
          <w:rFonts w:hint="eastAsia" w:ascii="仿宋" w:hAnsi="仿宋" w:eastAsia="仿宋" w:cs="仿宋"/>
          <w:color w:val="000000" w:themeColor="text1"/>
          <w:sz w:val="32"/>
          <w:szCs w:val="32"/>
          <w:lang w:eastAsia="zh-CN"/>
          <w14:textFill>
            <w14:solidFill>
              <w14:schemeClr w14:val="tx1"/>
            </w14:solidFill>
          </w14:textFill>
        </w:rPr>
        <w:t>梳理，杜绝出现</w:t>
      </w:r>
      <w:r>
        <w:rPr>
          <w:rFonts w:hint="eastAsia" w:ascii="仿宋" w:hAnsi="仿宋" w:eastAsia="仿宋" w:cs="仿宋"/>
          <w:color w:val="000000" w:themeColor="text1"/>
          <w:sz w:val="32"/>
          <w:szCs w:val="32"/>
          <w14:textFill>
            <w14:solidFill>
              <w14:schemeClr w14:val="tx1"/>
            </w14:solidFill>
          </w14:textFill>
        </w:rPr>
        <w:t>盲区死角。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三、规范各类行为，全面开展安全隐患大排查大整治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各地各学校要认真落实《中小学校岗位安全工作指南》（教基一厅〔</w:t>
      </w:r>
      <w:r>
        <w:rPr>
          <w:rFonts w:hint="eastAsia" w:ascii="仿宋" w:hAnsi="仿宋" w:eastAsia="仿宋" w:cs="仿宋"/>
          <w:color w:val="000000" w:themeColor="text1"/>
          <w:sz w:val="32"/>
          <w:szCs w:val="32"/>
          <w:lang w:val="en-US" w:eastAsia="zh-CN"/>
          <w14:textFill>
            <w14:solidFill>
              <w14:schemeClr w14:val="tx1"/>
            </w14:solidFill>
          </w14:textFill>
        </w:rPr>
        <w:t>2013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4号</w:t>
      </w:r>
      <w:r>
        <w:rPr>
          <w:rFonts w:hint="eastAsia" w:ascii="仿宋" w:hAnsi="仿宋" w:eastAsia="仿宋" w:cs="仿宋"/>
          <w:color w:val="000000" w:themeColor="text1"/>
          <w:sz w:val="32"/>
          <w:szCs w:val="32"/>
          <w:lang w:eastAsia="zh-CN"/>
          <w14:textFill>
            <w14:solidFill>
              <w14:schemeClr w14:val="tx1"/>
            </w14:solidFill>
          </w14:textFill>
        </w:rPr>
        <w:t>）、《苏州市中小学幼儿园治安防范基本标准》（公办发〔</w:t>
      </w:r>
      <w:r>
        <w:rPr>
          <w:rFonts w:hint="eastAsia" w:ascii="仿宋" w:hAnsi="仿宋" w:eastAsia="仿宋" w:cs="仿宋"/>
          <w:color w:val="000000" w:themeColor="text1"/>
          <w:sz w:val="32"/>
          <w:szCs w:val="32"/>
          <w:lang w:val="en-US" w:eastAsia="zh-CN"/>
          <w14:textFill>
            <w14:solidFill>
              <w14:schemeClr w14:val="tx1"/>
            </w14:solidFill>
          </w14:textFill>
        </w:rPr>
        <w:t>2018</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102号</w:t>
      </w:r>
      <w:r>
        <w:rPr>
          <w:rFonts w:hint="eastAsia" w:ascii="仿宋" w:hAnsi="仿宋" w:eastAsia="仿宋" w:cs="仿宋"/>
          <w:color w:val="000000" w:themeColor="text1"/>
          <w:sz w:val="32"/>
          <w:szCs w:val="32"/>
          <w:lang w:eastAsia="zh-CN"/>
          <w14:textFill>
            <w14:solidFill>
              <w14:schemeClr w14:val="tx1"/>
            </w14:solidFill>
          </w14:textFill>
        </w:rPr>
        <w:t>）、《苏州市中小学、幼儿园安全技术防范系统技术要求（</w:t>
      </w:r>
      <w:r>
        <w:rPr>
          <w:rFonts w:hint="eastAsia" w:ascii="仿宋" w:hAnsi="仿宋" w:eastAsia="仿宋" w:cs="仿宋"/>
          <w:color w:val="000000" w:themeColor="text1"/>
          <w:sz w:val="32"/>
          <w:szCs w:val="32"/>
          <w:lang w:val="en-US" w:eastAsia="zh-CN"/>
          <w14:textFill>
            <w14:solidFill>
              <w14:schemeClr w14:val="tx1"/>
            </w14:solidFill>
          </w14:textFill>
        </w:rPr>
        <w:t>2017版</w:t>
      </w:r>
      <w:r>
        <w:rPr>
          <w:rFonts w:hint="eastAsia" w:ascii="仿宋" w:hAnsi="仿宋" w:eastAsia="仿宋" w:cs="仿宋"/>
          <w:color w:val="000000" w:themeColor="text1"/>
          <w:sz w:val="32"/>
          <w:szCs w:val="32"/>
          <w:lang w:eastAsia="zh-CN"/>
          <w14:textFill>
            <w14:solidFill>
              <w14:schemeClr w14:val="tx1"/>
            </w14:solidFill>
          </w14:textFill>
        </w:rPr>
        <w:t>）》（公办发〔</w:t>
      </w:r>
      <w:r>
        <w:rPr>
          <w:rFonts w:hint="eastAsia" w:ascii="仿宋" w:hAnsi="仿宋" w:eastAsia="仿宋" w:cs="仿宋"/>
          <w:color w:val="000000" w:themeColor="text1"/>
          <w:sz w:val="32"/>
          <w:szCs w:val="32"/>
          <w:lang w:val="en-US" w:eastAsia="zh-CN"/>
          <w14:textFill>
            <w14:solidFill>
              <w14:schemeClr w14:val="tx1"/>
            </w14:solidFill>
          </w14:textFill>
        </w:rPr>
        <w:t>2017</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163号</w:t>
      </w:r>
      <w:r>
        <w:rPr>
          <w:rFonts w:hint="eastAsia" w:ascii="仿宋" w:hAnsi="仿宋" w:eastAsia="仿宋" w:cs="仿宋"/>
          <w:color w:val="000000" w:themeColor="text1"/>
          <w:sz w:val="32"/>
          <w:szCs w:val="32"/>
          <w:lang w:eastAsia="zh-CN"/>
          <w14:textFill>
            <w14:solidFill>
              <w14:schemeClr w14:val="tx1"/>
            </w14:solidFill>
          </w14:textFill>
        </w:rPr>
        <w:t>）、《中小学幼儿园消防安全标准化管理评定细则（试行）》（苏教安函〔2016〕16号）等相关文件，对照《关于开展全市校园安全大督查的通知》（苏教保〔</w:t>
      </w:r>
      <w:r>
        <w:rPr>
          <w:rFonts w:hint="eastAsia" w:ascii="仿宋" w:hAnsi="仿宋" w:eastAsia="仿宋" w:cs="仿宋"/>
          <w:color w:val="000000" w:themeColor="text1"/>
          <w:sz w:val="32"/>
          <w:szCs w:val="32"/>
          <w:lang w:val="en-US" w:eastAsia="zh-CN"/>
          <w14:textFill>
            <w14:solidFill>
              <w14:schemeClr w14:val="tx1"/>
            </w14:solidFill>
          </w14:textFill>
        </w:rPr>
        <w:t>2019</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4号</w:t>
      </w:r>
      <w:r>
        <w:rPr>
          <w:rFonts w:hint="eastAsia" w:ascii="仿宋" w:hAnsi="仿宋" w:eastAsia="仿宋" w:cs="仿宋"/>
          <w:color w:val="000000" w:themeColor="text1"/>
          <w:sz w:val="32"/>
          <w:szCs w:val="32"/>
          <w:lang w:eastAsia="zh-CN"/>
          <w14:textFill>
            <w14:solidFill>
              <w14:schemeClr w14:val="tx1"/>
            </w14:solidFill>
          </w14:textFill>
        </w:rPr>
        <w:t>）要求，认真组织开展安全大排查大整治，进一步加大工作力度，组织自查、互查、督查，进行明查暗访、“飞行检查”，深化各项安全检查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堵塞安全漏洞，提高校园安全保障水平，有效防范各类校园安全事故。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各地、各直属（代管）学校（单位）要及时将工作情况报送市教育局保卫处。市教育局将根据工作开展情况适时通报。</w:t>
      </w:r>
    </w:p>
    <w:p>
      <w:pPr>
        <w:keepNext w:val="0"/>
        <w:keepLines w:val="0"/>
        <w:pageBreakBefore w:val="0"/>
        <w:kinsoku/>
        <w:overflowPunct/>
        <w:topLinePunct w:val="0"/>
        <w:bidi w:val="0"/>
        <w:adjustRightInd/>
        <w:snapToGrid/>
        <w:spacing w:line="57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overflowPunct/>
        <w:topLinePunct w:val="0"/>
        <w:bidi w:val="0"/>
        <w:adjustRightInd/>
        <w:snapToGrid/>
        <w:spacing w:line="57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r>
        <w:rPr>
          <w:rFonts w:hint="eastAsia" w:ascii="仿宋" w:hAnsi="仿宋" w:eastAsia="仿宋"/>
          <w:color w:val="000000" w:themeColor="text1"/>
          <w:sz w:val="32"/>
          <w:szCs w:val="32"/>
          <w:lang w:eastAsia="zh-CN"/>
          <w14:textFill>
            <w14:solidFill>
              <w14:schemeClr w14:val="tx1"/>
            </w14:solidFill>
          </w14:textFill>
        </w:rPr>
        <w:t>苏州市有关</w:t>
      </w:r>
      <w:r>
        <w:rPr>
          <w:rFonts w:hint="eastAsia" w:ascii="仿宋" w:hAnsi="仿宋" w:eastAsia="仿宋"/>
          <w:color w:val="000000" w:themeColor="text1"/>
          <w:sz w:val="32"/>
          <w:szCs w:val="32"/>
          <w14:textFill>
            <w14:solidFill>
              <w14:schemeClr w14:val="tx1"/>
            </w14:solidFill>
          </w14:textFill>
        </w:rPr>
        <w:t>重点行业领域重大安全风险隐患及防控整</w:t>
      </w:r>
    </w:p>
    <w:p>
      <w:pPr>
        <w:keepNext w:val="0"/>
        <w:keepLines w:val="0"/>
        <w:pageBreakBefore w:val="0"/>
        <w:kinsoku/>
        <w:overflowPunct/>
        <w:topLinePunct w:val="0"/>
        <w:bidi w:val="0"/>
        <w:adjustRightInd/>
        <w:snapToGrid/>
        <w:spacing w:line="570" w:lineRule="exact"/>
        <w:ind w:firstLine="1600" w:firstLineChars="5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改措施清单</w:t>
      </w:r>
      <w:r>
        <w:rPr>
          <w:rFonts w:hint="eastAsia" w:ascii="仿宋" w:hAnsi="仿宋" w:eastAsia="仿宋"/>
          <w:color w:val="000000" w:themeColor="text1"/>
          <w:sz w:val="32"/>
          <w:szCs w:val="32"/>
          <w:lang w:eastAsia="zh-CN"/>
          <w14:textFill>
            <w14:solidFill>
              <w14:schemeClr w14:val="tx1"/>
            </w14:solidFill>
          </w14:textFill>
        </w:rPr>
        <w:t>（涉及教育系统部分）</w:t>
      </w:r>
      <w:r>
        <w:rPr>
          <w:rFonts w:hint="eastAsia" w:ascii="仿宋" w:hAnsi="仿宋" w:eastAsia="仿宋"/>
          <w:color w:val="000000" w:themeColor="text1"/>
          <w:sz w:val="32"/>
          <w:szCs w:val="32"/>
          <w14:textFill>
            <w14:solidFill>
              <w14:schemeClr w14:val="tx1"/>
            </w14:solidFill>
          </w14:textFill>
        </w:rPr>
        <w:t xml:space="preserve">  </w:t>
      </w:r>
    </w:p>
    <w:p>
      <w:pPr>
        <w:keepNext w:val="0"/>
        <w:keepLines w:val="0"/>
        <w:pageBreakBefore w:val="0"/>
        <w:kinsoku/>
        <w:overflowPunct/>
        <w:topLinePunct w:val="0"/>
        <w:bidi w:val="0"/>
        <w:adjustRightInd/>
        <w:snapToGrid/>
        <w:spacing w:line="57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pStyle w:val="2"/>
        <w:keepNext w:val="0"/>
        <w:keepLines w:val="0"/>
        <w:pageBreakBefore w:val="0"/>
        <w:kinsoku/>
        <w:overflowPunct/>
        <w:topLinePunct w:val="0"/>
        <w:bidi w:val="0"/>
        <w:adjustRightInd/>
        <w:snapToGrid/>
        <w:spacing w:line="570" w:lineRule="exact"/>
        <w:textAlignment w:val="auto"/>
      </w:pPr>
    </w:p>
    <w:p>
      <w:pPr>
        <w:keepNext w:val="0"/>
        <w:keepLines w:val="0"/>
        <w:pageBreakBefore w:val="0"/>
        <w:kinsoku/>
        <w:overflowPunct/>
        <w:topLinePunct w:val="0"/>
        <w:bidi w:val="0"/>
        <w:adjustRightInd/>
        <w:snapToGrid/>
        <w:spacing w:line="570" w:lineRule="exact"/>
        <w:ind w:firstLine="640" w:firstLineChars="200"/>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val="0"/>
        <w:overflowPunct/>
        <w:topLinePunct w:val="0"/>
        <w:bidi w:val="0"/>
        <w:adjustRightInd/>
        <w:snapToGrid/>
        <w:spacing w:line="570" w:lineRule="exact"/>
        <w:ind w:firstLine="4800" w:firstLineChars="1500"/>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苏州市教育局          </w:t>
      </w:r>
    </w:p>
    <w:p>
      <w:pPr>
        <w:keepNext w:val="0"/>
        <w:keepLines w:val="0"/>
        <w:pageBreakBefore w:val="0"/>
        <w:kinsoku/>
        <w:wordWrap w:val="0"/>
        <w:overflowPunct/>
        <w:topLinePunct w:val="0"/>
        <w:bidi w:val="0"/>
        <w:adjustRightInd/>
        <w:snapToGrid/>
        <w:spacing w:line="570" w:lineRule="exact"/>
        <w:ind w:firstLine="4800" w:firstLineChars="1500"/>
        <w:jc w:val="right"/>
        <w:textAlignment w:val="auto"/>
        <w:rPr>
          <w:rFonts w:hint="eastAsia"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201</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月2</w:t>
      </w:r>
      <w:r>
        <w:rPr>
          <w:rFonts w:hint="eastAsia" w:ascii="仿宋" w:hAnsi="仿宋" w:eastAsia="仿宋"/>
          <w:color w:val="000000" w:themeColor="text1"/>
          <w:sz w:val="32"/>
          <w:szCs w:val="32"/>
          <w:lang w:val="en-US" w:eastAsia="zh-CN"/>
          <w14:textFill>
            <w14:solidFill>
              <w14:schemeClr w14:val="tx1"/>
            </w14:solidFill>
          </w14:textFill>
        </w:rPr>
        <w:t>8</w:t>
      </w:r>
      <w:bookmarkStart w:id="0" w:name="_GoBack"/>
      <w:bookmarkEnd w:id="0"/>
      <w:r>
        <w:rPr>
          <w:rFonts w:hint="eastAsia" w:ascii="仿宋" w:hAnsi="仿宋" w:eastAsia="仿宋"/>
          <w:color w:val="000000" w:themeColor="text1"/>
          <w:sz w:val="32"/>
          <w:szCs w:val="32"/>
          <w14:textFill>
            <w14:solidFill>
              <w14:schemeClr w14:val="tx1"/>
            </w14:solidFill>
          </w14:textFill>
        </w:rPr>
        <w:t xml:space="preserve">日    </w:t>
      </w:r>
      <w:r>
        <w:rPr>
          <w:rFonts w:hint="eastAsia" w:ascii="仿宋" w:hAnsi="仿宋" w:eastAsia="仿宋"/>
          <w:sz w:val="32"/>
          <w:szCs w:val="32"/>
        </w:rPr>
        <w:t xml:space="preserve">    </w:t>
      </w:r>
    </w:p>
    <w:p>
      <w:pPr>
        <w:ind w:firstLine="4800" w:firstLineChars="1500"/>
        <w:jc w:val="righ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spacing w:line="570" w:lineRule="exact"/>
        <w:jc w:val="center"/>
        <w:textAlignment w:val="auto"/>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val="0"/>
        <w:snapToGrid/>
        <w:spacing w:line="570" w:lineRule="exact"/>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70" w:lineRule="exact"/>
        <w:jc w:val="center"/>
        <w:textAlignment w:val="auto"/>
        <w:rPr>
          <w:rFonts w:hint="eastAsia" w:ascii="Times New Roman" w:hAnsi="Times New Roman" w:eastAsia="方正小标宋简体"/>
          <w:sz w:val="40"/>
        </w:rPr>
      </w:pPr>
      <w:r>
        <w:rPr>
          <w:rFonts w:hint="eastAsia" w:ascii="Times New Roman" w:hAnsi="Times New Roman" w:eastAsia="方正小标宋简体"/>
          <w:sz w:val="40"/>
          <w:lang w:eastAsia="zh-CN"/>
        </w:rPr>
        <w:t>苏州市有关</w:t>
      </w:r>
      <w:r>
        <w:rPr>
          <w:rFonts w:hint="eastAsia" w:ascii="Times New Roman" w:hAnsi="Times New Roman" w:eastAsia="方正小标宋简体"/>
          <w:sz w:val="40"/>
        </w:rPr>
        <w:t>重点行业领域重大安全风险隐患</w:t>
      </w:r>
    </w:p>
    <w:p>
      <w:pPr>
        <w:keepNext w:val="0"/>
        <w:keepLines w:val="0"/>
        <w:pageBreakBefore w:val="0"/>
        <w:widowControl w:val="0"/>
        <w:kinsoku/>
        <w:wordWrap/>
        <w:overflowPunct/>
        <w:topLinePunct w:val="0"/>
        <w:autoSpaceDE/>
        <w:autoSpaceDN/>
        <w:bidi w:val="0"/>
        <w:adjustRightInd w:val="0"/>
        <w:snapToGrid/>
        <w:spacing w:line="570" w:lineRule="exact"/>
        <w:jc w:val="center"/>
        <w:textAlignment w:val="auto"/>
        <w:rPr>
          <w:rFonts w:hint="eastAsia" w:ascii="Times New Roman" w:hAnsi="Times New Roman" w:eastAsia="方正小标宋简体"/>
          <w:sz w:val="40"/>
          <w:lang w:eastAsia="zh-CN"/>
        </w:rPr>
      </w:pPr>
      <w:r>
        <w:rPr>
          <w:rFonts w:hint="eastAsia" w:ascii="Times New Roman" w:hAnsi="Times New Roman" w:eastAsia="方正小标宋简体"/>
          <w:sz w:val="40"/>
        </w:rPr>
        <w:t>及防控整改措施清单</w:t>
      </w:r>
      <w:r>
        <w:rPr>
          <w:rFonts w:hint="eastAsia" w:ascii="Times New Roman" w:hAnsi="Times New Roman" w:eastAsia="方正小标宋简体"/>
          <w:sz w:val="40"/>
          <w:lang w:eastAsia="zh-CN"/>
        </w:rPr>
        <w:t>（涉及教育系统部分）</w:t>
      </w:r>
    </w:p>
    <w:tbl>
      <w:tblPr>
        <w:tblStyle w:val="7"/>
        <w:tblpPr w:leftFromText="180" w:rightFromText="180" w:vertAnchor="text" w:horzAnchor="page" w:tblpX="1483" w:tblpY="357"/>
        <w:tblOverlap w:val="never"/>
        <w:tblW w:w="91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78"/>
        <w:gridCol w:w="1725"/>
        <w:gridCol w:w="6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blHeader/>
        </w:trPr>
        <w:tc>
          <w:tcPr>
            <w:tcW w:w="678" w:type="dxa"/>
            <w:noWrap w:val="0"/>
            <w:vAlign w:val="center"/>
          </w:tcPr>
          <w:p>
            <w:pPr>
              <w:adjustRightInd w:val="0"/>
              <w:snapToGrid w:val="0"/>
              <w:jc w:val="center"/>
              <w:rPr>
                <w:rFonts w:hint="eastAsia" w:ascii="Times New Roman" w:hAnsi="Times New Roman" w:eastAsia="黑体"/>
                <w:snapToGrid w:val="0"/>
                <w:spacing w:val="-4"/>
                <w:kern w:val="0"/>
                <w:sz w:val="24"/>
                <w:szCs w:val="24"/>
              </w:rPr>
            </w:pPr>
            <w:r>
              <w:rPr>
                <w:rFonts w:hint="eastAsia" w:ascii="Times New Roman" w:hAnsi="Times New Roman" w:eastAsia="黑体"/>
                <w:snapToGrid w:val="0"/>
                <w:spacing w:val="-4"/>
                <w:kern w:val="0"/>
                <w:sz w:val="24"/>
                <w:szCs w:val="24"/>
              </w:rPr>
              <w:t>分类</w:t>
            </w:r>
          </w:p>
        </w:tc>
        <w:tc>
          <w:tcPr>
            <w:tcW w:w="578" w:type="dxa"/>
            <w:noWrap w:val="0"/>
            <w:vAlign w:val="center"/>
          </w:tcPr>
          <w:p>
            <w:pPr>
              <w:adjustRightInd w:val="0"/>
              <w:snapToGrid w:val="0"/>
              <w:jc w:val="center"/>
              <w:rPr>
                <w:rFonts w:hint="eastAsia" w:ascii="Times New Roman" w:hAnsi="Times New Roman" w:eastAsia="黑体"/>
                <w:snapToGrid w:val="0"/>
                <w:spacing w:val="-4"/>
                <w:kern w:val="0"/>
                <w:sz w:val="24"/>
                <w:szCs w:val="24"/>
              </w:rPr>
            </w:pPr>
            <w:r>
              <w:rPr>
                <w:rFonts w:hint="eastAsia" w:ascii="Times New Roman" w:hAnsi="Times New Roman" w:eastAsia="黑体"/>
                <w:snapToGrid w:val="0"/>
                <w:spacing w:val="-4"/>
                <w:kern w:val="0"/>
                <w:sz w:val="24"/>
                <w:szCs w:val="24"/>
              </w:rPr>
              <w:t>序号</w:t>
            </w:r>
          </w:p>
        </w:tc>
        <w:tc>
          <w:tcPr>
            <w:tcW w:w="1725" w:type="dxa"/>
            <w:noWrap w:val="0"/>
            <w:vAlign w:val="center"/>
          </w:tcPr>
          <w:p>
            <w:pPr>
              <w:adjustRightInd w:val="0"/>
              <w:snapToGrid w:val="0"/>
              <w:jc w:val="center"/>
              <w:rPr>
                <w:rFonts w:hint="eastAsia" w:ascii="Times New Roman" w:hAnsi="Times New Roman" w:eastAsia="黑体"/>
                <w:snapToGrid w:val="0"/>
                <w:spacing w:val="-4"/>
                <w:kern w:val="0"/>
                <w:sz w:val="24"/>
                <w:szCs w:val="24"/>
                <w:lang w:eastAsia="zh-CN"/>
              </w:rPr>
            </w:pPr>
            <w:r>
              <w:rPr>
                <w:rFonts w:hint="eastAsia" w:ascii="Times New Roman" w:hAnsi="Times New Roman" w:eastAsia="黑体"/>
                <w:snapToGrid w:val="0"/>
                <w:spacing w:val="-4"/>
                <w:kern w:val="0"/>
                <w:sz w:val="24"/>
                <w:szCs w:val="24"/>
              </w:rPr>
              <w:t>重大安全风险和隐患</w:t>
            </w:r>
          </w:p>
        </w:tc>
        <w:tc>
          <w:tcPr>
            <w:tcW w:w="6119" w:type="dxa"/>
            <w:noWrap w:val="0"/>
            <w:vAlign w:val="center"/>
          </w:tcPr>
          <w:p>
            <w:pPr>
              <w:adjustRightInd w:val="0"/>
              <w:snapToGrid w:val="0"/>
              <w:jc w:val="center"/>
              <w:rPr>
                <w:rFonts w:hint="eastAsia" w:ascii="Times New Roman" w:hAnsi="Times New Roman" w:eastAsia="黑体"/>
                <w:snapToGrid w:val="0"/>
                <w:spacing w:val="-4"/>
                <w:kern w:val="0"/>
                <w:sz w:val="24"/>
                <w:szCs w:val="24"/>
                <w:lang w:eastAsia="zh-CN"/>
              </w:rPr>
            </w:pPr>
            <w:r>
              <w:rPr>
                <w:rFonts w:hint="eastAsia" w:ascii="Times New Roman" w:hAnsi="Times New Roman" w:eastAsia="黑体"/>
                <w:snapToGrid w:val="0"/>
                <w:spacing w:val="-4"/>
                <w:kern w:val="0"/>
                <w:sz w:val="24"/>
                <w:szCs w:val="24"/>
              </w:rPr>
              <w:t>防控和整改措施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78" w:type="dxa"/>
            <w:vMerge w:val="restart"/>
            <w:noWrap w:val="0"/>
            <w:vAlign w:val="center"/>
          </w:tcPr>
          <w:p>
            <w:pPr>
              <w:adjustRightInd w:val="0"/>
              <w:snapToGrid w:val="0"/>
              <w:jc w:val="center"/>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二、</w:t>
            </w:r>
          </w:p>
          <w:p>
            <w:pPr>
              <w:adjustRightInd w:val="0"/>
              <w:snapToGrid w:val="0"/>
              <w:jc w:val="center"/>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学校及高校实验室</w:t>
            </w:r>
          </w:p>
        </w:tc>
        <w:tc>
          <w:tcPr>
            <w:tcW w:w="578" w:type="dxa"/>
            <w:noWrap w:val="0"/>
            <w:vAlign w:val="center"/>
          </w:tcPr>
          <w:p>
            <w:pPr>
              <w:adjustRightInd w:val="0"/>
              <w:snapToGrid w:val="0"/>
              <w:jc w:val="center"/>
              <w:rPr>
                <w:rFonts w:hint="eastAsia" w:ascii="Times New Roman" w:hAnsi="Times New Roman" w:eastAsia="仿宋_GB2312"/>
                <w:snapToGrid w:val="0"/>
                <w:spacing w:val="-4"/>
                <w:kern w:val="0"/>
                <w:sz w:val="24"/>
                <w:szCs w:val="24"/>
                <w:lang w:eastAsia="zh-CN"/>
              </w:rPr>
            </w:pPr>
            <w:r>
              <w:rPr>
                <w:rFonts w:hint="eastAsia" w:ascii="Times New Roman" w:hAnsi="Times New Roman" w:eastAsia="仿宋_GB2312"/>
                <w:snapToGrid w:val="0"/>
                <w:spacing w:val="-4"/>
                <w:kern w:val="0"/>
                <w:sz w:val="24"/>
                <w:szCs w:val="24"/>
                <w:lang w:val="en-US" w:eastAsia="zh-CN"/>
              </w:rPr>
              <w:t>5</w:t>
            </w:r>
          </w:p>
        </w:tc>
        <w:tc>
          <w:tcPr>
            <w:tcW w:w="1725"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学校食品安全风险。</w:t>
            </w:r>
          </w:p>
        </w:tc>
        <w:tc>
          <w:tcPr>
            <w:tcW w:w="6119"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全面落实校园食品安全管理校长（园长）负责制；将食品安全工作纳入领导班子考核内容；强化食品安全全过程监管；建立食品采购追溯体系；落实学校领导陪餐制度。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678" w:type="dxa"/>
            <w:vMerge w:val="continue"/>
            <w:noWrap w:val="0"/>
            <w:vAlign w:val="center"/>
          </w:tcPr>
          <w:p>
            <w:pPr>
              <w:adjustRightInd w:val="0"/>
              <w:snapToGrid w:val="0"/>
              <w:jc w:val="center"/>
              <w:rPr>
                <w:rFonts w:hint="eastAsia" w:ascii="Times New Roman" w:hAnsi="Times New Roman" w:eastAsia="仿宋_GB2312"/>
                <w:snapToGrid w:val="0"/>
                <w:spacing w:val="-4"/>
                <w:kern w:val="0"/>
                <w:sz w:val="24"/>
                <w:szCs w:val="24"/>
              </w:rPr>
            </w:pPr>
          </w:p>
        </w:tc>
        <w:tc>
          <w:tcPr>
            <w:tcW w:w="578" w:type="dxa"/>
            <w:noWrap w:val="0"/>
            <w:vAlign w:val="center"/>
          </w:tcPr>
          <w:p>
            <w:pPr>
              <w:adjustRightInd w:val="0"/>
              <w:snapToGrid w:val="0"/>
              <w:jc w:val="center"/>
              <w:rPr>
                <w:rFonts w:hint="eastAsia" w:ascii="Times New Roman" w:hAnsi="Times New Roman" w:eastAsia="仿宋_GB2312"/>
                <w:snapToGrid w:val="0"/>
                <w:spacing w:val="-4"/>
                <w:kern w:val="0"/>
                <w:sz w:val="24"/>
                <w:szCs w:val="24"/>
                <w:lang w:eastAsia="zh-CN"/>
              </w:rPr>
            </w:pPr>
            <w:r>
              <w:rPr>
                <w:rFonts w:hint="eastAsia" w:ascii="Times New Roman" w:hAnsi="Times New Roman" w:eastAsia="仿宋_GB2312"/>
                <w:snapToGrid w:val="0"/>
                <w:spacing w:val="-4"/>
                <w:kern w:val="0"/>
                <w:sz w:val="24"/>
                <w:szCs w:val="24"/>
                <w:lang w:val="en-US" w:eastAsia="zh-CN"/>
              </w:rPr>
              <w:t>6</w:t>
            </w:r>
          </w:p>
        </w:tc>
        <w:tc>
          <w:tcPr>
            <w:tcW w:w="1725"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学校消防安全风险。</w:t>
            </w:r>
          </w:p>
        </w:tc>
        <w:tc>
          <w:tcPr>
            <w:tcW w:w="6119"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部署集中开展消防安全专项检查，针对实验室、教学楼、学生宿舍、食堂等重点场所，检查消防安全责任是否落实、消防设施是否完好、电气设施是否存在安全隐患、装饰装修是否符合消防安全要求、电动自行车是否违规停放充电、疏散通道是否畅通、日常消防安全管理措施是否落实等，要求排查全覆盖，隐患全见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678" w:type="dxa"/>
            <w:vMerge w:val="continue"/>
            <w:noWrap w:val="0"/>
            <w:vAlign w:val="center"/>
          </w:tcPr>
          <w:p>
            <w:pPr>
              <w:adjustRightInd w:val="0"/>
              <w:snapToGrid w:val="0"/>
              <w:jc w:val="center"/>
              <w:rPr>
                <w:rFonts w:hint="eastAsia" w:ascii="Times New Roman" w:hAnsi="Times New Roman" w:eastAsia="仿宋_GB2312"/>
                <w:snapToGrid w:val="0"/>
                <w:spacing w:val="-4"/>
                <w:kern w:val="0"/>
                <w:sz w:val="24"/>
                <w:szCs w:val="24"/>
              </w:rPr>
            </w:pPr>
          </w:p>
        </w:tc>
        <w:tc>
          <w:tcPr>
            <w:tcW w:w="578" w:type="dxa"/>
            <w:noWrap w:val="0"/>
            <w:vAlign w:val="center"/>
          </w:tcPr>
          <w:p>
            <w:pPr>
              <w:adjustRightInd w:val="0"/>
              <w:snapToGrid w:val="0"/>
              <w:jc w:val="center"/>
              <w:rPr>
                <w:rFonts w:hint="eastAsia" w:ascii="Times New Roman" w:hAnsi="Times New Roman" w:eastAsia="仿宋_GB2312"/>
                <w:snapToGrid w:val="0"/>
                <w:spacing w:val="-4"/>
                <w:kern w:val="0"/>
                <w:sz w:val="24"/>
                <w:szCs w:val="24"/>
                <w:lang w:eastAsia="zh-CN"/>
              </w:rPr>
            </w:pPr>
            <w:r>
              <w:rPr>
                <w:rFonts w:hint="eastAsia" w:ascii="Times New Roman" w:hAnsi="Times New Roman" w:eastAsia="仿宋_GB2312"/>
                <w:snapToGrid w:val="0"/>
                <w:spacing w:val="-4"/>
                <w:kern w:val="0"/>
                <w:sz w:val="24"/>
                <w:szCs w:val="24"/>
                <w:lang w:val="en-US" w:eastAsia="zh-CN"/>
              </w:rPr>
              <w:t>7</w:t>
            </w:r>
          </w:p>
        </w:tc>
        <w:tc>
          <w:tcPr>
            <w:tcW w:w="1725"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校车安全风险。</w:t>
            </w:r>
          </w:p>
        </w:tc>
        <w:tc>
          <w:tcPr>
            <w:tcW w:w="6119"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坚持从校车安全管理的各个环节入手，会同公安、交通运输等部门完善道路、车辆、交通标志等设施，严格驾驶员资格审查，排查行车路线及道路隐患，加大校车动态管控，严查超速超员违法行为，加大非法接送学生车辆查处力度。会同公安、交通运输部门部署进一步加强校车安全管理，加强隐患排查、路面执法、宣传教育和问责力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78" w:type="dxa"/>
            <w:vMerge w:val="continue"/>
            <w:noWrap w:val="0"/>
            <w:vAlign w:val="center"/>
          </w:tcPr>
          <w:p>
            <w:pPr>
              <w:adjustRightInd w:val="0"/>
              <w:snapToGrid w:val="0"/>
              <w:jc w:val="center"/>
              <w:rPr>
                <w:rFonts w:hint="eastAsia" w:ascii="Times New Roman" w:hAnsi="Times New Roman" w:eastAsia="仿宋_GB2312"/>
                <w:snapToGrid w:val="0"/>
                <w:spacing w:val="-4"/>
                <w:kern w:val="0"/>
                <w:sz w:val="24"/>
                <w:szCs w:val="24"/>
              </w:rPr>
            </w:pPr>
          </w:p>
        </w:tc>
        <w:tc>
          <w:tcPr>
            <w:tcW w:w="578" w:type="dxa"/>
            <w:noWrap w:val="0"/>
            <w:vAlign w:val="center"/>
          </w:tcPr>
          <w:p>
            <w:pPr>
              <w:adjustRightInd w:val="0"/>
              <w:snapToGrid w:val="0"/>
              <w:jc w:val="center"/>
              <w:rPr>
                <w:rFonts w:hint="eastAsia" w:ascii="Times New Roman" w:hAnsi="Times New Roman" w:eastAsia="仿宋_GB2312"/>
                <w:snapToGrid w:val="0"/>
                <w:spacing w:val="-4"/>
                <w:kern w:val="0"/>
                <w:sz w:val="24"/>
                <w:szCs w:val="24"/>
                <w:lang w:eastAsia="zh-CN"/>
              </w:rPr>
            </w:pPr>
            <w:r>
              <w:rPr>
                <w:rFonts w:hint="eastAsia" w:ascii="Times New Roman" w:hAnsi="Times New Roman" w:eastAsia="仿宋_GB2312"/>
                <w:snapToGrid w:val="0"/>
                <w:spacing w:val="-4"/>
                <w:kern w:val="0"/>
                <w:sz w:val="24"/>
                <w:szCs w:val="24"/>
                <w:lang w:val="en-US" w:eastAsia="zh-CN"/>
              </w:rPr>
              <w:t>8</w:t>
            </w:r>
          </w:p>
        </w:tc>
        <w:tc>
          <w:tcPr>
            <w:tcW w:w="1725"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校园及周边治安风险。</w:t>
            </w:r>
          </w:p>
        </w:tc>
        <w:tc>
          <w:tcPr>
            <w:tcW w:w="6119"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会同政法、公安机关部署实施“护校安园”专项工作，加强校园安全防控体系建设，健全风险预警机制，强化校园周边综合治理。会同</w:t>
            </w:r>
            <w:r>
              <w:rPr>
                <w:rFonts w:hint="eastAsia" w:ascii="Times New Roman" w:hAnsi="Times New Roman" w:eastAsia="仿宋_GB2312"/>
                <w:snapToGrid w:val="0"/>
                <w:spacing w:val="-4"/>
                <w:kern w:val="0"/>
                <w:sz w:val="24"/>
                <w:szCs w:val="24"/>
                <w:lang w:eastAsia="zh-CN"/>
              </w:rPr>
              <w:t>市</w:t>
            </w:r>
            <w:r>
              <w:rPr>
                <w:rFonts w:hint="eastAsia" w:ascii="Times New Roman" w:hAnsi="Times New Roman" w:eastAsia="仿宋_GB2312"/>
                <w:snapToGrid w:val="0"/>
                <w:spacing w:val="-4"/>
                <w:kern w:val="0"/>
                <w:sz w:val="24"/>
                <w:szCs w:val="24"/>
              </w:rPr>
              <w:t>反恐办组织开展校园反恐工作暗访督导。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678" w:type="dxa"/>
            <w:vMerge w:val="continue"/>
            <w:noWrap w:val="0"/>
            <w:vAlign w:val="center"/>
          </w:tcPr>
          <w:p>
            <w:pPr>
              <w:adjustRightInd w:val="0"/>
              <w:snapToGrid w:val="0"/>
              <w:jc w:val="center"/>
              <w:rPr>
                <w:rFonts w:hint="eastAsia" w:ascii="Times New Roman" w:hAnsi="Times New Roman" w:eastAsia="仿宋_GB2312"/>
                <w:snapToGrid w:val="0"/>
                <w:spacing w:val="-4"/>
                <w:kern w:val="0"/>
                <w:sz w:val="24"/>
                <w:szCs w:val="24"/>
              </w:rPr>
            </w:pPr>
          </w:p>
        </w:tc>
        <w:tc>
          <w:tcPr>
            <w:tcW w:w="578" w:type="dxa"/>
            <w:noWrap w:val="0"/>
            <w:vAlign w:val="center"/>
          </w:tcPr>
          <w:p>
            <w:pPr>
              <w:adjustRightInd w:val="0"/>
              <w:snapToGrid w:val="0"/>
              <w:jc w:val="center"/>
              <w:rPr>
                <w:rFonts w:hint="eastAsia" w:ascii="Times New Roman" w:hAnsi="Times New Roman" w:eastAsia="仿宋_GB2312"/>
                <w:snapToGrid w:val="0"/>
                <w:spacing w:val="-4"/>
                <w:kern w:val="0"/>
                <w:sz w:val="24"/>
                <w:szCs w:val="24"/>
                <w:lang w:eastAsia="zh-CN"/>
              </w:rPr>
            </w:pPr>
            <w:r>
              <w:rPr>
                <w:rFonts w:hint="eastAsia" w:ascii="Times New Roman" w:hAnsi="Times New Roman" w:eastAsia="仿宋_GB2312"/>
                <w:snapToGrid w:val="0"/>
                <w:spacing w:val="-4"/>
                <w:kern w:val="0"/>
                <w:sz w:val="24"/>
                <w:szCs w:val="24"/>
                <w:lang w:val="en-US" w:eastAsia="zh-CN"/>
              </w:rPr>
              <w:t>9</w:t>
            </w:r>
          </w:p>
        </w:tc>
        <w:tc>
          <w:tcPr>
            <w:tcW w:w="1725"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学生溺水安全风险。</w:t>
            </w:r>
          </w:p>
        </w:tc>
        <w:tc>
          <w:tcPr>
            <w:tcW w:w="6119"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深入开展学生安全教育，强化安全教育针对性，突出实效性。专门就防范溺水致信学生家长，强化家长监护责任，加强放学后、周末、节假日期间孩子的教育管理，严防溺水意外事件。开展水上交通安全主题教育活动，普及水上安全、求生救助等知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678" w:type="dxa"/>
            <w:vMerge w:val="continue"/>
            <w:noWrap w:val="0"/>
            <w:vAlign w:val="center"/>
          </w:tcPr>
          <w:p>
            <w:pPr>
              <w:adjustRightInd w:val="0"/>
              <w:snapToGrid w:val="0"/>
              <w:jc w:val="center"/>
              <w:rPr>
                <w:rFonts w:hint="eastAsia" w:ascii="Times New Roman" w:hAnsi="Times New Roman" w:eastAsia="仿宋_GB2312"/>
                <w:snapToGrid w:val="0"/>
                <w:spacing w:val="-4"/>
                <w:kern w:val="0"/>
                <w:sz w:val="24"/>
                <w:szCs w:val="24"/>
              </w:rPr>
            </w:pPr>
          </w:p>
        </w:tc>
        <w:tc>
          <w:tcPr>
            <w:tcW w:w="578" w:type="dxa"/>
            <w:noWrap w:val="0"/>
            <w:vAlign w:val="center"/>
          </w:tcPr>
          <w:p>
            <w:pPr>
              <w:adjustRightInd w:val="0"/>
              <w:snapToGrid w:val="0"/>
              <w:jc w:val="center"/>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rPr>
              <w:t>1</w:t>
            </w:r>
            <w:r>
              <w:rPr>
                <w:rFonts w:hint="eastAsia" w:ascii="Times New Roman" w:hAnsi="Times New Roman" w:eastAsia="仿宋_GB2312"/>
                <w:snapToGrid w:val="0"/>
                <w:spacing w:val="-4"/>
                <w:kern w:val="0"/>
                <w:sz w:val="24"/>
                <w:szCs w:val="24"/>
                <w:lang w:val="en-US" w:eastAsia="zh-CN"/>
              </w:rPr>
              <w:t>0</w:t>
            </w:r>
          </w:p>
        </w:tc>
        <w:tc>
          <w:tcPr>
            <w:tcW w:w="1725"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lang w:eastAsia="zh-CN"/>
              </w:rPr>
              <w:t>学校</w:t>
            </w:r>
            <w:r>
              <w:rPr>
                <w:rFonts w:hint="eastAsia" w:ascii="Times New Roman" w:hAnsi="Times New Roman" w:eastAsia="仿宋_GB2312"/>
                <w:snapToGrid w:val="0"/>
                <w:spacing w:val="-4"/>
                <w:kern w:val="0"/>
                <w:sz w:val="24"/>
                <w:szCs w:val="24"/>
              </w:rPr>
              <w:t>实验室及危险化学品安全风险。</w:t>
            </w:r>
          </w:p>
        </w:tc>
        <w:tc>
          <w:tcPr>
            <w:tcW w:w="6119" w:type="dxa"/>
            <w:noWrap w:val="0"/>
            <w:vAlign w:val="center"/>
          </w:tcPr>
          <w:p>
            <w:pPr>
              <w:adjustRightInd w:val="0"/>
              <w:snapToGrid w:val="0"/>
              <w:rPr>
                <w:rFonts w:hint="eastAsia" w:ascii="Times New Roman" w:hAnsi="Times New Roman" w:eastAsia="仿宋_GB2312"/>
                <w:snapToGrid w:val="0"/>
                <w:spacing w:val="-4"/>
                <w:kern w:val="0"/>
                <w:sz w:val="24"/>
                <w:szCs w:val="24"/>
              </w:rPr>
            </w:pPr>
            <w:r>
              <w:rPr>
                <w:rFonts w:hint="eastAsia" w:ascii="Times New Roman" w:hAnsi="Times New Roman" w:eastAsia="仿宋_GB2312"/>
                <w:snapToGrid w:val="0"/>
                <w:spacing w:val="-4"/>
                <w:kern w:val="0"/>
                <w:sz w:val="24"/>
                <w:szCs w:val="24"/>
                <w:lang w:eastAsia="zh-CN"/>
              </w:rPr>
              <w:t>配合</w:t>
            </w:r>
            <w:r>
              <w:rPr>
                <w:rFonts w:hint="eastAsia" w:ascii="Times New Roman" w:hAnsi="Times New Roman" w:eastAsia="仿宋_GB2312"/>
                <w:snapToGrid w:val="0"/>
                <w:spacing w:val="-4"/>
                <w:kern w:val="0"/>
                <w:sz w:val="24"/>
                <w:szCs w:val="24"/>
              </w:rPr>
              <w:t>推动落实《江苏高等学校实验室安全</w:t>
            </w:r>
            <w:r>
              <w:rPr>
                <w:rFonts w:hint="eastAsia" w:ascii="Times New Roman" w:hAnsi="Times New Roman"/>
                <w:snapToGrid w:val="0"/>
                <w:spacing w:val="-4"/>
                <w:kern w:val="0"/>
                <w:sz w:val="24"/>
                <w:szCs w:val="24"/>
                <w:lang w:eastAsia="zh-CN"/>
              </w:rPr>
              <w:t>工作</w:t>
            </w:r>
            <w:r>
              <w:rPr>
                <w:rFonts w:hint="eastAsia" w:ascii="Times New Roman" w:hAnsi="Times New Roman" w:eastAsia="仿宋_GB2312"/>
                <w:snapToGrid w:val="0"/>
                <w:spacing w:val="-4"/>
                <w:kern w:val="0"/>
                <w:sz w:val="24"/>
                <w:szCs w:val="24"/>
              </w:rPr>
              <w:t>规程</w:t>
            </w:r>
            <w:r>
              <w:rPr>
                <w:rFonts w:hint="eastAsia" w:ascii="Times New Roman" w:hAnsi="Times New Roman"/>
                <w:snapToGrid w:val="0"/>
                <w:spacing w:val="-4"/>
                <w:kern w:val="0"/>
                <w:sz w:val="24"/>
                <w:szCs w:val="24"/>
                <w:lang w:eastAsia="zh-CN"/>
              </w:rPr>
              <w:t>（试行）</w:t>
            </w:r>
            <w:r>
              <w:rPr>
                <w:rFonts w:hint="eastAsia" w:ascii="Times New Roman" w:hAnsi="Times New Roman" w:eastAsia="仿宋_GB2312"/>
                <w:snapToGrid w:val="0"/>
                <w:spacing w:val="-4"/>
                <w:kern w:val="0"/>
                <w:sz w:val="24"/>
                <w:szCs w:val="24"/>
              </w:rPr>
              <w:t>》，落实安全责任体系，完善安全运行机制，开展安全教育宣传与准入培训，严格危险源管理，落实定期安全巡查机制；进一步细化安全工作流程和规范；开展</w:t>
            </w:r>
            <w:r>
              <w:rPr>
                <w:rFonts w:hint="eastAsia" w:ascii="Times New Roman" w:hAnsi="Times New Roman" w:eastAsia="仿宋_GB2312"/>
                <w:snapToGrid w:val="0"/>
                <w:spacing w:val="-4"/>
                <w:kern w:val="0"/>
                <w:sz w:val="24"/>
                <w:szCs w:val="24"/>
                <w:lang w:eastAsia="zh-CN"/>
              </w:rPr>
              <w:t>学</w:t>
            </w:r>
            <w:r>
              <w:rPr>
                <w:rFonts w:hint="eastAsia" w:ascii="Times New Roman" w:hAnsi="Times New Roman" w:eastAsia="仿宋_GB2312"/>
                <w:snapToGrid w:val="0"/>
                <w:spacing w:val="-4"/>
                <w:kern w:val="0"/>
                <w:sz w:val="24"/>
                <w:szCs w:val="24"/>
              </w:rPr>
              <w:t>校实验室安全“飞行检查”。</w:t>
            </w:r>
          </w:p>
        </w:tc>
      </w:tr>
    </w:tbl>
    <w:p>
      <w:pPr>
        <w:wordWrap w:val="0"/>
        <w:jc w:val="both"/>
        <w:rPr>
          <w:rFonts w:hint="eastAsia" w:ascii="仿宋" w:hAnsi="仿宋" w:eastAsia="仿宋"/>
          <w:sz w:val="32"/>
          <w:szCs w:val="32"/>
        </w:rPr>
      </w:pPr>
      <w:r>
        <w:rPr>
          <w:rFonts w:hint="eastAsia" w:ascii="仿宋" w:hAnsi="仿宋" w:eastAsia="仿宋"/>
          <w:sz w:val="32"/>
          <w:szCs w:val="32"/>
        </w:rPr>
        <w:t xml:space="preserve">     </w:t>
      </w:r>
    </w:p>
    <w:sectPr>
      <w:footerReference r:id="rId5" w:type="first"/>
      <w:footerReference r:id="rId3" w:type="default"/>
      <w:footerReference r:id="rId4" w:type="even"/>
      <w:pgSz w:w="11907" w:h="16840"/>
      <w:pgMar w:top="2041" w:right="1304" w:bottom="2041" w:left="1304" w:header="851" w:footer="1134" w:gutter="227"/>
      <w:pgNumType w:fmt="numberInDash"/>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ascii="宋体" w:hAnsi="宋体" w:eastAsia="宋体"/>
        <w:sz w:val="28"/>
        <w:szCs w:val="28"/>
      </w:rPr>
    </w:pP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- 2 -</w:t>
    </w:r>
    <w:r>
      <w:rPr>
        <w:rFonts w:ascii="宋体" w:hAnsi="宋体" w:eastAsia="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sz w:val="28"/>
        <w:szCs w:val="28"/>
      </w:rPr>
    </w:pPr>
    <w: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-245745</wp:posOffset>
              </wp:positionV>
              <wp:extent cx="5810250" cy="0"/>
              <wp:effectExtent l="0" t="31750" r="0" b="44450"/>
              <wp:wrapSquare wrapText="bothSides"/>
              <wp:docPr id="2" name="直线 2"/>
              <wp:cNvGraphicFramePr/>
              <a:graphic xmlns:a="http://schemas.openxmlformats.org/drawingml/2006/main">
                <a:graphicData uri="http://schemas.microsoft.com/office/word/2010/wordprocessingShape">
                  <wps:wsp>
                    <wps:cNvCnPr/>
                    <wps:spPr>
                      <a:xfrm>
                        <a:off x="0" y="0"/>
                        <a:ext cx="581025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5pt;margin-top:-19.35pt;height:0pt;width:457.5pt;mso-wrap-distance-bottom:0pt;mso-wrap-distance-left:9pt;mso-wrap-distance-right:9pt;mso-wrap-distance-top:0pt;z-index:251658240;mso-width-relative:page;mso-height-relative:page;" filled="f" stroked="t" coordsize="21600,21600" o:gfxdata="UEsDBAoAAAAAAIdO4kAAAAAAAAAAAAAAAAAEAAAAZHJzL1BLAwQUAAAACACHTuJAwVYwzdUAAAAK&#10;AQAADwAAAGRycy9kb3ducmV2LnhtbE2PQU/DMAyF70j8h8hI3LY0IGArTXdg4oDEhQL3rPHSisTp&#10;mqwb+/V4EhKcLL/39Py5Wh2DFxOOqY+kQc0LEEhttD05DR/vz7MFiJQNWeMjoYZvTLCqLy8qU9p4&#10;oDecmuwEl1AqjYYu56GUMrUdBpPmcUBibxvHYDKvo5N2NAcuD17eFMW9DKYnvtCZAZ86bL+afdBA&#10;zWm3c9u71/7Fu5b10+d6Wmt9faWKRxAZj/kvDGd8RoeamTZxTzYJr2F2qzh5nosHEBxYKrUEsflV&#10;ZF3J/y/UP1BLAwQUAAAACACHTuJA5NzNMNUBAACUAwAADgAAAGRycy9lMm9Eb2MueG1srVNLbtsw&#10;EN0X6B0I7mvJKhwEguUs4rqbojXQ9ABjfkSi/IFkLPssvUZX3fQ4uUaHtOP0swmCakENOaM37z2O&#10;ljcHa8hexKS9G+h81lIiHPNcu3GgX+42b64pSRkcB+OdGOhRJHqzev1qOYVedF55w0UkCOJSP4WB&#10;qpxD3zSJKWEhzXwQDpPSRwsZt3FseIQJ0a1pura9aiYfeYieiZTwdH1K0lXFl1Kw/EnKJDIxA0Vu&#10;ua6xrruyNqsl9GOEoDQ704AXsLCgHTa9QK0hA7mP+h8oq1n0ycs8Y942XkrNRNWAaubtX2o+Kwii&#10;akFzUrjYlP4fLPu430ai+UA7ShxYvKKHb98ffvwkXfFmCqnHklu3jeddCttYhB5ktOWNEsih+nm8&#10;+CkOmTA8XFzP226BtrPHXPP0YYgpvxfekhIM1GhXpEIP+w8pYzMsfSwpx8aRaaBXbxdtwQMcFWkg&#10;Y2gDks9Kuzu8wq8VInmj+UYbUz5Mcdzdmkj2gCOw2bT4FGUI/0dZ6bWGpE51NXUaDiWAv3Oc5GNA&#10;cxxOMS1MrOCUGIFDXyIEhD6DNs+pxNbGIYNi7snOEu08P+JV3IeoR4WGzCvLksGrr3zPY1pm6/d9&#10;RXr6m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FWMM3VAAAACgEAAA8AAAAAAAAAAQAgAAAA&#10;IgAAAGRycy9kb3ducmV2LnhtbFBLAQIUABQAAAAIAIdO4kDk3M0w1QEAAJQDAAAOAAAAAAAAAAEA&#10;IAAAACQBAABkcnMvZTJvRG9jLnhtbFBLBQYAAAAABgAGAFkBAABrBQAAAAA=&#10;">
              <v:fill on="f" focussize="0,0"/>
              <v:stroke weight="5pt" color="#FF0000" linestyle="thinThick" joinstyle="round"/>
              <v:imagedata o:title=""/>
              <o:lock v:ext="edit" aspectratio="f"/>
              <w10:wrap type="square"/>
            </v:line>
          </w:pict>
        </mc:Fallback>
      </mc:AlternateConten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- 1 -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0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A0940"/>
    <w:rsid w:val="00036549"/>
    <w:rsid w:val="0003737A"/>
    <w:rsid w:val="00045292"/>
    <w:rsid w:val="00062B9F"/>
    <w:rsid w:val="000803F5"/>
    <w:rsid w:val="000D6D60"/>
    <w:rsid w:val="000E26C1"/>
    <w:rsid w:val="001015E8"/>
    <w:rsid w:val="0013613B"/>
    <w:rsid w:val="00136994"/>
    <w:rsid w:val="00155558"/>
    <w:rsid w:val="001B4BB5"/>
    <w:rsid w:val="001E1A7A"/>
    <w:rsid w:val="001F4FDA"/>
    <w:rsid w:val="00224806"/>
    <w:rsid w:val="00271781"/>
    <w:rsid w:val="002A7ECC"/>
    <w:rsid w:val="002B484F"/>
    <w:rsid w:val="002B72F5"/>
    <w:rsid w:val="002C1FA5"/>
    <w:rsid w:val="002E56A4"/>
    <w:rsid w:val="003107F6"/>
    <w:rsid w:val="003168B0"/>
    <w:rsid w:val="00331D07"/>
    <w:rsid w:val="00351D37"/>
    <w:rsid w:val="00363833"/>
    <w:rsid w:val="00386FCE"/>
    <w:rsid w:val="00390A7B"/>
    <w:rsid w:val="003E16C4"/>
    <w:rsid w:val="00413F80"/>
    <w:rsid w:val="00455C99"/>
    <w:rsid w:val="0046307D"/>
    <w:rsid w:val="00463FE2"/>
    <w:rsid w:val="004C5FC4"/>
    <w:rsid w:val="004E2C74"/>
    <w:rsid w:val="0050610A"/>
    <w:rsid w:val="0054748E"/>
    <w:rsid w:val="0055512D"/>
    <w:rsid w:val="00582D09"/>
    <w:rsid w:val="0058530A"/>
    <w:rsid w:val="00590EB4"/>
    <w:rsid w:val="005C7059"/>
    <w:rsid w:val="005D2BBB"/>
    <w:rsid w:val="005D6720"/>
    <w:rsid w:val="005D7665"/>
    <w:rsid w:val="005E245E"/>
    <w:rsid w:val="00697D6D"/>
    <w:rsid w:val="006F6DF7"/>
    <w:rsid w:val="00817FA3"/>
    <w:rsid w:val="00851202"/>
    <w:rsid w:val="008536BA"/>
    <w:rsid w:val="00872179"/>
    <w:rsid w:val="00876921"/>
    <w:rsid w:val="00892BFD"/>
    <w:rsid w:val="00895067"/>
    <w:rsid w:val="00921922"/>
    <w:rsid w:val="00933378"/>
    <w:rsid w:val="00990029"/>
    <w:rsid w:val="00993E5D"/>
    <w:rsid w:val="00995476"/>
    <w:rsid w:val="009A3748"/>
    <w:rsid w:val="009B120A"/>
    <w:rsid w:val="009E03B8"/>
    <w:rsid w:val="00A027C0"/>
    <w:rsid w:val="00A30324"/>
    <w:rsid w:val="00A35423"/>
    <w:rsid w:val="00A354F3"/>
    <w:rsid w:val="00A841C6"/>
    <w:rsid w:val="00A86C56"/>
    <w:rsid w:val="00AC37A4"/>
    <w:rsid w:val="00AF4EB8"/>
    <w:rsid w:val="00B32A2E"/>
    <w:rsid w:val="00B4382A"/>
    <w:rsid w:val="00B70DA9"/>
    <w:rsid w:val="00B76435"/>
    <w:rsid w:val="00B8230C"/>
    <w:rsid w:val="00BA572C"/>
    <w:rsid w:val="00C420CA"/>
    <w:rsid w:val="00C8262E"/>
    <w:rsid w:val="00C91CEC"/>
    <w:rsid w:val="00D45D0F"/>
    <w:rsid w:val="00D54287"/>
    <w:rsid w:val="00D86564"/>
    <w:rsid w:val="00D86D96"/>
    <w:rsid w:val="00DB4DB1"/>
    <w:rsid w:val="00DD0967"/>
    <w:rsid w:val="00DF4692"/>
    <w:rsid w:val="00E066BB"/>
    <w:rsid w:val="00E34EE4"/>
    <w:rsid w:val="00E57E57"/>
    <w:rsid w:val="00F33872"/>
    <w:rsid w:val="00F33CA6"/>
    <w:rsid w:val="00F5086E"/>
    <w:rsid w:val="00F52DA0"/>
    <w:rsid w:val="00F57DB2"/>
    <w:rsid w:val="00FC1D82"/>
    <w:rsid w:val="00FC6105"/>
    <w:rsid w:val="00FD11C0"/>
    <w:rsid w:val="07AC7919"/>
    <w:rsid w:val="08C438C7"/>
    <w:rsid w:val="0E1C66F5"/>
    <w:rsid w:val="0E427D1A"/>
    <w:rsid w:val="10745D58"/>
    <w:rsid w:val="16287F3C"/>
    <w:rsid w:val="16FB2F62"/>
    <w:rsid w:val="24781577"/>
    <w:rsid w:val="307B2640"/>
    <w:rsid w:val="3AAA0940"/>
    <w:rsid w:val="3CDE0FAD"/>
    <w:rsid w:val="42A42DFB"/>
    <w:rsid w:val="4A727182"/>
    <w:rsid w:val="4CF337CD"/>
    <w:rsid w:val="4D2C7D85"/>
    <w:rsid w:val="53462B59"/>
    <w:rsid w:val="58383C86"/>
    <w:rsid w:val="5C4749AF"/>
    <w:rsid w:val="64642FE3"/>
    <w:rsid w:val="66ED62C8"/>
    <w:rsid w:val="711A6176"/>
    <w:rsid w:val="76AF07E8"/>
    <w:rsid w:val="78FD39B2"/>
    <w:rsid w:val="79E56350"/>
    <w:rsid w:val="7AC01599"/>
    <w:rsid w:val="7FB610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Date"/>
    <w:basedOn w:val="1"/>
    <w:next w:val="1"/>
    <w:link w:val="12"/>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0"/>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customStyle="1" w:styleId="11">
    <w:name w:val="页脚 Char"/>
    <w:link w:val="5"/>
    <w:qFormat/>
    <w:uiPriority w:val="99"/>
    <w:rPr>
      <w:rFonts w:ascii="仿宋_GB2312" w:eastAsia="仿宋_GB2312"/>
      <w:kern w:val="2"/>
      <w:sz w:val="18"/>
    </w:rPr>
  </w:style>
  <w:style w:type="character" w:customStyle="1" w:styleId="12">
    <w:name w:val="日期 Char"/>
    <w:link w:val="3"/>
    <w:qFormat/>
    <w:uiPriority w:val="0"/>
    <w:rPr>
      <w:rFonts w:ascii="仿宋_GB2312" w:eastAsia="仿宋_GB2312"/>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9&#24180;&#25991;&#20214;\1-&#20445;&#21355;&#22788;&#25311;&#31295;&#25991;&#20214;\2-&#33487;&#25945;&#23433;&#20989;&#12308;2019&#12309;\&#20989;&#20214;2019%20-%20&#21103;&#26412;%20-%20&#21103;&#264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函件2019 - 副本 - 副本.dot</Template>
  <Company>sjyj</Company>
  <Pages>1</Pages>
  <Words>95</Words>
  <Characters>105</Characters>
  <Lines>1</Lines>
  <Paragraphs>1</Paragraphs>
  <TotalTime>22</TotalTime>
  <ScaleCrop>false</ScaleCrop>
  <LinksUpToDate>false</LinksUpToDate>
  <CharactersWithSpaces>132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2019-04-26T06:58:00Z</dcterms:created>
  <dc:creator>老老厅</dc:creator>
  <cp:lastModifiedBy>老老厅</cp:lastModifiedBy>
  <cp:lastPrinted>2019-04-26T07:36:00Z</cp:lastPrinted>
  <dcterms:modified xsi:type="dcterms:W3CDTF">2019-04-28T03:17:39Z</dcterms:modified>
  <dc:title>苏教[2000]号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